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ayout w:type="fixed"/>
        <w:tblCellMar>
          <w:left w:w="0" w:type="dxa"/>
          <w:right w:w="0" w:type="dxa"/>
        </w:tblCellMar>
        <w:tblLook w:val="0000" w:firstRow="0" w:lastRow="0" w:firstColumn="0" w:lastColumn="0" w:noHBand="0" w:noVBand="0"/>
      </w:tblPr>
      <w:tblGrid>
        <w:gridCol w:w="2160"/>
        <w:gridCol w:w="5760"/>
        <w:gridCol w:w="2160"/>
      </w:tblGrid>
      <w:tr w:rsidR="00E44FA2">
        <w:trPr>
          <w:cantSplit/>
        </w:trPr>
        <w:tc>
          <w:tcPr>
            <w:tcW w:w="2160" w:type="dxa"/>
          </w:tcPr>
          <w:p w:rsidR="00BB11AA" w:rsidRDefault="00BB11AA" w:rsidP="00FD58D8">
            <w:pPr>
              <w:spacing w:before="360"/>
              <w:rPr>
                <w:smallCaps/>
                <w:sz w:val="16"/>
                <w:szCs w:val="16"/>
              </w:rPr>
            </w:pPr>
            <w:r>
              <w:rPr>
                <w:smallCaps/>
                <w:sz w:val="16"/>
                <w:szCs w:val="16"/>
              </w:rPr>
              <w:t>Richard D. Emery</w:t>
            </w:r>
          </w:p>
          <w:p w:rsidR="00BB11AA" w:rsidRDefault="00BB11AA" w:rsidP="00BB11AA">
            <w:pPr>
              <w:rPr>
                <w:smallCaps/>
                <w:sz w:val="16"/>
                <w:szCs w:val="16"/>
              </w:rPr>
            </w:pPr>
            <w:r>
              <w:rPr>
                <w:smallCaps/>
                <w:sz w:val="16"/>
                <w:szCs w:val="16"/>
              </w:rPr>
              <w:t>Andrew G. Celli, Jr.</w:t>
            </w:r>
          </w:p>
          <w:p w:rsidR="00BB11AA" w:rsidRDefault="00BB11AA" w:rsidP="00BB11AA">
            <w:pPr>
              <w:rPr>
                <w:smallCaps/>
                <w:sz w:val="16"/>
                <w:szCs w:val="16"/>
              </w:rPr>
            </w:pPr>
            <w:r>
              <w:rPr>
                <w:smallCaps/>
                <w:sz w:val="16"/>
                <w:szCs w:val="16"/>
              </w:rPr>
              <w:t>Matthew D. Brinckerhoff</w:t>
            </w:r>
          </w:p>
          <w:p w:rsidR="00BB11AA" w:rsidRDefault="00BB11AA" w:rsidP="00BB11AA">
            <w:pPr>
              <w:rPr>
                <w:smallCaps/>
                <w:sz w:val="16"/>
                <w:szCs w:val="16"/>
              </w:rPr>
            </w:pPr>
            <w:r>
              <w:rPr>
                <w:smallCaps/>
                <w:sz w:val="16"/>
                <w:szCs w:val="16"/>
              </w:rPr>
              <w:t>Jonathan S. Abady</w:t>
            </w:r>
          </w:p>
          <w:p w:rsidR="00BB11AA" w:rsidRDefault="00BB11AA" w:rsidP="00BB11AA">
            <w:pPr>
              <w:rPr>
                <w:smallCaps/>
                <w:sz w:val="16"/>
                <w:szCs w:val="16"/>
                <w:lang w:val="de-DE"/>
              </w:rPr>
            </w:pPr>
            <w:r>
              <w:rPr>
                <w:smallCaps/>
                <w:sz w:val="16"/>
                <w:szCs w:val="16"/>
                <w:lang w:val="de-DE"/>
              </w:rPr>
              <w:t>Earl S. Ward</w:t>
            </w:r>
          </w:p>
          <w:p w:rsidR="00BB11AA" w:rsidRDefault="00BB11AA" w:rsidP="00BB11AA">
            <w:pPr>
              <w:rPr>
                <w:smallCaps/>
                <w:sz w:val="16"/>
                <w:szCs w:val="16"/>
                <w:lang w:val="de-DE"/>
              </w:rPr>
            </w:pPr>
            <w:r>
              <w:rPr>
                <w:smallCaps/>
                <w:sz w:val="16"/>
                <w:szCs w:val="16"/>
                <w:lang w:val="de-DE"/>
              </w:rPr>
              <w:t>Ilann M. Maazel</w:t>
            </w:r>
          </w:p>
          <w:p w:rsidR="00010A1B" w:rsidRDefault="00010A1B" w:rsidP="00BB11AA">
            <w:pPr>
              <w:rPr>
                <w:smallCaps/>
                <w:sz w:val="16"/>
                <w:szCs w:val="16"/>
                <w:lang w:val="de-DE"/>
              </w:rPr>
            </w:pPr>
            <w:r>
              <w:rPr>
                <w:smallCaps/>
                <w:sz w:val="16"/>
                <w:szCs w:val="16"/>
                <w:lang w:val="de-DE"/>
              </w:rPr>
              <w:t>Hal R. Lieberman</w:t>
            </w:r>
          </w:p>
          <w:p w:rsidR="00276315" w:rsidRDefault="00276315" w:rsidP="00BB11AA">
            <w:pPr>
              <w:rPr>
                <w:smallCaps/>
                <w:sz w:val="16"/>
                <w:szCs w:val="16"/>
                <w:lang w:val="de-DE"/>
              </w:rPr>
            </w:pPr>
            <w:r>
              <w:rPr>
                <w:smallCaps/>
                <w:sz w:val="16"/>
                <w:szCs w:val="16"/>
                <w:lang w:val="de-DE"/>
              </w:rPr>
              <w:t>Daniel J. Kornstein</w:t>
            </w:r>
          </w:p>
          <w:p w:rsidR="00BB11AA" w:rsidRDefault="00BB11AA" w:rsidP="00BB11AA">
            <w:pPr>
              <w:rPr>
                <w:smallCaps/>
                <w:sz w:val="16"/>
                <w:szCs w:val="16"/>
                <w:lang w:val="de-DE"/>
              </w:rPr>
            </w:pPr>
            <w:r>
              <w:rPr>
                <w:smallCaps/>
                <w:sz w:val="16"/>
                <w:szCs w:val="16"/>
                <w:lang w:val="de-DE"/>
              </w:rPr>
              <w:t>O. Andrew F. Wilson</w:t>
            </w:r>
          </w:p>
          <w:p w:rsidR="00BB11AA" w:rsidRDefault="00BB11AA" w:rsidP="00BB11AA">
            <w:pPr>
              <w:rPr>
                <w:smallCaps/>
                <w:sz w:val="2"/>
                <w:szCs w:val="2"/>
                <w:lang w:val="de-DE"/>
              </w:rPr>
            </w:pPr>
            <w:r>
              <w:rPr>
                <w:smallCaps/>
                <w:sz w:val="16"/>
                <w:szCs w:val="16"/>
                <w:lang w:val="de-DE"/>
              </w:rPr>
              <w:t>Elizabeth S. Saylor</w:t>
            </w:r>
          </w:p>
          <w:p w:rsidR="004C1535" w:rsidRDefault="00FD58D8" w:rsidP="00BB11AA">
            <w:pPr>
              <w:rPr>
                <w:smallCaps/>
                <w:sz w:val="16"/>
                <w:szCs w:val="16"/>
                <w:lang w:val="de-DE"/>
              </w:rPr>
            </w:pPr>
            <w:r>
              <w:rPr>
                <w:smallCaps/>
                <w:sz w:val="16"/>
                <w:szCs w:val="16"/>
                <w:lang w:val="de-DE"/>
              </w:rPr>
              <w:t xml:space="preserve">Katherine </w:t>
            </w:r>
            <w:r w:rsidR="004C1535">
              <w:rPr>
                <w:smallCaps/>
                <w:sz w:val="16"/>
                <w:szCs w:val="16"/>
                <w:lang w:val="de-DE"/>
              </w:rPr>
              <w:t>Rosenfeld</w:t>
            </w:r>
          </w:p>
          <w:p w:rsidR="00BB11AA" w:rsidRDefault="00BB11AA" w:rsidP="00BB11AA">
            <w:pPr>
              <w:rPr>
                <w:smallCaps/>
                <w:sz w:val="16"/>
                <w:szCs w:val="16"/>
                <w:lang w:val="de-DE"/>
              </w:rPr>
            </w:pPr>
            <w:r>
              <w:rPr>
                <w:smallCaps/>
                <w:sz w:val="16"/>
                <w:szCs w:val="16"/>
                <w:lang w:val="de-DE"/>
              </w:rPr>
              <w:t>Debra L. Greenberger</w:t>
            </w:r>
          </w:p>
          <w:p w:rsidR="00BB11AA" w:rsidRDefault="00BB11AA" w:rsidP="00BB11AA">
            <w:pPr>
              <w:rPr>
                <w:smallCaps/>
                <w:sz w:val="16"/>
                <w:szCs w:val="16"/>
              </w:rPr>
            </w:pPr>
            <w:r>
              <w:rPr>
                <w:smallCaps/>
                <w:sz w:val="16"/>
                <w:szCs w:val="16"/>
              </w:rPr>
              <w:t>Zoe Salzman</w:t>
            </w:r>
          </w:p>
          <w:p w:rsidR="00BB11AA" w:rsidRDefault="00BB11AA" w:rsidP="00BB11AA">
            <w:pPr>
              <w:rPr>
                <w:smallCaps/>
                <w:sz w:val="16"/>
                <w:szCs w:val="16"/>
              </w:rPr>
            </w:pPr>
            <w:r>
              <w:rPr>
                <w:smallCaps/>
                <w:sz w:val="16"/>
                <w:szCs w:val="16"/>
              </w:rPr>
              <w:t>Sam Shapiro</w:t>
            </w:r>
          </w:p>
          <w:p w:rsidR="00D546A5" w:rsidRPr="00A76572" w:rsidRDefault="00D546A5" w:rsidP="00951FB5">
            <w:pPr>
              <w:rPr>
                <w:smallCaps/>
                <w:sz w:val="16"/>
                <w:szCs w:val="16"/>
              </w:rPr>
            </w:pPr>
          </w:p>
        </w:tc>
        <w:tc>
          <w:tcPr>
            <w:tcW w:w="5760" w:type="dxa"/>
          </w:tcPr>
          <w:p w:rsidR="00E44FA2" w:rsidRPr="00C61215" w:rsidRDefault="00E44FA2" w:rsidP="00FD58D8">
            <w:pPr>
              <w:tabs>
                <w:tab w:val="center" w:pos="2880"/>
              </w:tabs>
              <w:spacing w:before="120"/>
              <w:jc w:val="center"/>
              <w:rPr>
                <w:sz w:val="30"/>
                <w:szCs w:val="30"/>
              </w:rPr>
            </w:pPr>
            <w:r w:rsidRPr="00C61215">
              <w:rPr>
                <w:smallCaps/>
                <w:sz w:val="30"/>
                <w:szCs w:val="30"/>
              </w:rPr>
              <w:t xml:space="preserve">Emery Celli Brinckerhoff &amp; Abady </w:t>
            </w:r>
            <w:proofErr w:type="spellStart"/>
            <w:r w:rsidRPr="00C61215">
              <w:rPr>
                <w:rStyle w:val="Normal13ptChar"/>
                <w:sz w:val="30"/>
                <w:szCs w:val="30"/>
              </w:rPr>
              <w:t>llp</w:t>
            </w:r>
            <w:proofErr w:type="spellEnd"/>
          </w:p>
          <w:p w:rsidR="00E44FA2" w:rsidRDefault="00E44FA2" w:rsidP="00FD58D8">
            <w:pPr>
              <w:tabs>
                <w:tab w:val="center" w:pos="2880"/>
              </w:tabs>
              <w:jc w:val="center"/>
              <w:rPr>
                <w:rFonts w:ascii="Garamond" w:hAnsi="Garamond" w:cs="Garamond"/>
                <w:sz w:val="18"/>
                <w:szCs w:val="18"/>
              </w:rPr>
            </w:pPr>
          </w:p>
          <w:p w:rsidR="00E44FA2" w:rsidRPr="00617438" w:rsidRDefault="00E44FA2" w:rsidP="00FD58D8">
            <w:pPr>
              <w:tabs>
                <w:tab w:val="center" w:pos="2880"/>
              </w:tabs>
              <w:jc w:val="center"/>
              <w:rPr>
                <w:rFonts w:ascii="Garamond" w:hAnsi="Garamond" w:cs="Garamond"/>
                <w:sz w:val="16"/>
                <w:szCs w:val="16"/>
              </w:rPr>
            </w:pPr>
            <w:r w:rsidRPr="00617438">
              <w:rPr>
                <w:rFonts w:ascii="Garamond" w:hAnsi="Garamond" w:cs="Garamond"/>
                <w:smallCaps/>
                <w:sz w:val="16"/>
                <w:szCs w:val="16"/>
              </w:rPr>
              <w:t>Attorneys At Law</w:t>
            </w:r>
          </w:p>
          <w:p w:rsidR="00D40003" w:rsidRDefault="0070702E" w:rsidP="00FD58D8">
            <w:pPr>
              <w:tabs>
                <w:tab w:val="center" w:pos="2880"/>
              </w:tabs>
              <w:jc w:val="center"/>
              <w:rPr>
                <w:rFonts w:ascii="Garamond" w:hAnsi="Garamond" w:cs="Garamond"/>
                <w:smallCaps/>
                <w:sz w:val="16"/>
                <w:szCs w:val="16"/>
              </w:rPr>
            </w:pPr>
            <w:r>
              <w:rPr>
                <w:rFonts w:ascii="Garamond" w:hAnsi="Garamond" w:cs="Garamond"/>
                <w:smallCaps/>
                <w:sz w:val="16"/>
                <w:szCs w:val="16"/>
              </w:rPr>
              <w:t>600 Fifth Avenue</w:t>
            </w:r>
            <w:r w:rsidR="00D40003">
              <w:rPr>
                <w:rFonts w:ascii="Garamond" w:hAnsi="Garamond" w:cs="Garamond"/>
                <w:smallCaps/>
                <w:sz w:val="16"/>
                <w:szCs w:val="16"/>
              </w:rPr>
              <w:t xml:space="preserve"> at Rockefeller Center</w:t>
            </w:r>
          </w:p>
          <w:p w:rsidR="002E0DC6" w:rsidRPr="00617438" w:rsidRDefault="0070702E" w:rsidP="00FD58D8">
            <w:pPr>
              <w:tabs>
                <w:tab w:val="center" w:pos="2880"/>
              </w:tabs>
              <w:jc w:val="center"/>
              <w:rPr>
                <w:rFonts w:ascii="Garamond" w:hAnsi="Garamond" w:cs="Garamond"/>
                <w:smallCaps/>
                <w:sz w:val="16"/>
                <w:szCs w:val="16"/>
              </w:rPr>
            </w:pPr>
            <w:r>
              <w:rPr>
                <w:rFonts w:ascii="Garamond" w:hAnsi="Garamond" w:cs="Garamond"/>
                <w:smallCaps/>
                <w:sz w:val="16"/>
                <w:szCs w:val="16"/>
              </w:rPr>
              <w:t>1</w:t>
            </w:r>
            <w:r w:rsidR="002E0DC6" w:rsidRPr="00617438">
              <w:rPr>
                <w:rFonts w:ascii="Garamond" w:hAnsi="Garamond" w:cs="Garamond"/>
                <w:smallCaps/>
                <w:sz w:val="16"/>
                <w:szCs w:val="16"/>
              </w:rPr>
              <w:t>0</w:t>
            </w:r>
            <w:r w:rsidR="002E0DC6" w:rsidRPr="00617438">
              <w:rPr>
                <w:rFonts w:ascii="Garamond" w:hAnsi="Garamond" w:cs="Garamond"/>
                <w:smallCaps/>
                <w:sz w:val="16"/>
                <w:szCs w:val="16"/>
                <w:vertAlign w:val="superscript"/>
              </w:rPr>
              <w:t>th</w:t>
            </w:r>
            <w:r w:rsidR="002E0DC6" w:rsidRPr="00617438">
              <w:rPr>
                <w:rFonts w:ascii="Garamond" w:hAnsi="Garamond" w:cs="Garamond"/>
                <w:smallCaps/>
                <w:sz w:val="16"/>
                <w:szCs w:val="16"/>
              </w:rPr>
              <w:t xml:space="preserve"> floor</w:t>
            </w:r>
          </w:p>
          <w:p w:rsidR="00E44FA2" w:rsidRPr="000F0498" w:rsidRDefault="0070702E" w:rsidP="00FD58D8">
            <w:pPr>
              <w:tabs>
                <w:tab w:val="center" w:pos="2880"/>
              </w:tabs>
              <w:jc w:val="center"/>
              <w:rPr>
                <w:rFonts w:ascii="Garamond" w:hAnsi="Garamond" w:cs="Garamond"/>
                <w:smallCaps/>
                <w:sz w:val="16"/>
                <w:szCs w:val="16"/>
              </w:rPr>
            </w:pPr>
            <w:r w:rsidRPr="000F0498">
              <w:rPr>
                <w:rFonts w:ascii="Garamond" w:hAnsi="Garamond" w:cs="Garamond"/>
                <w:smallCaps/>
                <w:sz w:val="16"/>
                <w:szCs w:val="16"/>
              </w:rPr>
              <w:t>New York, New York  10020</w:t>
            </w:r>
          </w:p>
          <w:p w:rsidR="00FD58D8" w:rsidRPr="000F0498" w:rsidRDefault="00FD58D8" w:rsidP="00FD58D8">
            <w:pPr>
              <w:tabs>
                <w:tab w:val="center" w:pos="2880"/>
              </w:tabs>
              <w:jc w:val="center"/>
              <w:rPr>
                <w:rFonts w:ascii="Garamond" w:hAnsi="Garamond" w:cs="Garamond"/>
                <w:smallCaps/>
                <w:sz w:val="16"/>
                <w:szCs w:val="16"/>
              </w:rPr>
            </w:pPr>
          </w:p>
          <w:p w:rsidR="00FD58D8" w:rsidRPr="000F0498" w:rsidRDefault="00FD58D8" w:rsidP="00FD58D8">
            <w:pPr>
              <w:jc w:val="center"/>
              <w:rPr>
                <w:rFonts w:ascii="Garamond" w:hAnsi="Garamond"/>
                <w:smallCaps/>
                <w:sz w:val="16"/>
                <w:szCs w:val="16"/>
              </w:rPr>
            </w:pPr>
            <w:r w:rsidRPr="000F0498">
              <w:rPr>
                <w:rFonts w:ascii="Garamond" w:hAnsi="Garamond"/>
                <w:smallCaps/>
                <w:sz w:val="16"/>
                <w:szCs w:val="16"/>
              </w:rPr>
              <w:t>Tel:  (212) 763-5000</w:t>
            </w:r>
          </w:p>
          <w:p w:rsidR="00FD58D8" w:rsidRPr="000F0498" w:rsidRDefault="00FD58D8" w:rsidP="00FD58D8">
            <w:pPr>
              <w:tabs>
                <w:tab w:val="center" w:pos="1080"/>
              </w:tabs>
              <w:jc w:val="center"/>
              <w:rPr>
                <w:rFonts w:ascii="Garamond" w:hAnsi="Garamond"/>
                <w:smallCaps/>
                <w:sz w:val="16"/>
                <w:szCs w:val="16"/>
              </w:rPr>
            </w:pPr>
            <w:r w:rsidRPr="000F0498">
              <w:rPr>
                <w:rFonts w:ascii="Garamond" w:hAnsi="Garamond"/>
                <w:smallCaps/>
                <w:sz w:val="16"/>
                <w:szCs w:val="16"/>
              </w:rPr>
              <w:t>Fax:  (212) 763-5001</w:t>
            </w:r>
          </w:p>
          <w:p w:rsidR="00FD58D8" w:rsidRPr="000F0498" w:rsidRDefault="00FD58D8" w:rsidP="00FD58D8">
            <w:pPr>
              <w:tabs>
                <w:tab w:val="center" w:pos="1080"/>
              </w:tabs>
              <w:jc w:val="center"/>
              <w:rPr>
                <w:rFonts w:ascii="Garamond" w:hAnsi="Garamond"/>
                <w:sz w:val="16"/>
                <w:szCs w:val="16"/>
              </w:rPr>
            </w:pPr>
            <w:r w:rsidRPr="000F0498">
              <w:rPr>
                <w:rFonts w:ascii="Garamond" w:hAnsi="Garamond"/>
                <w:sz w:val="16"/>
                <w:szCs w:val="16"/>
              </w:rPr>
              <w:t>www.ecbalaw.com</w:t>
            </w:r>
          </w:p>
          <w:p w:rsidR="00FD58D8" w:rsidRDefault="00FD58D8" w:rsidP="006E20A9">
            <w:pPr>
              <w:tabs>
                <w:tab w:val="center" w:pos="2880"/>
              </w:tabs>
              <w:jc w:val="center"/>
              <w:rPr>
                <w:rFonts w:ascii="Garamond" w:hAnsi="Garamond" w:cs="Garamond"/>
                <w:sz w:val="18"/>
                <w:szCs w:val="18"/>
              </w:rPr>
            </w:pPr>
          </w:p>
        </w:tc>
        <w:tc>
          <w:tcPr>
            <w:tcW w:w="2160" w:type="dxa"/>
          </w:tcPr>
          <w:p w:rsidR="002A04AC" w:rsidRDefault="002A04AC" w:rsidP="002A04AC">
            <w:pPr>
              <w:spacing w:before="360"/>
              <w:jc w:val="right"/>
              <w:rPr>
                <w:smallCaps/>
                <w:sz w:val="16"/>
                <w:szCs w:val="16"/>
              </w:rPr>
            </w:pPr>
            <w:r>
              <w:rPr>
                <w:smallCaps/>
                <w:sz w:val="16"/>
                <w:szCs w:val="16"/>
              </w:rPr>
              <w:t>Charles J. Ogletree, Jr.</w:t>
            </w:r>
          </w:p>
          <w:p w:rsidR="00FD58D8" w:rsidRDefault="00BB11AA" w:rsidP="002A04AC">
            <w:pPr>
              <w:jc w:val="right"/>
              <w:rPr>
                <w:smallCaps/>
                <w:sz w:val="16"/>
                <w:szCs w:val="16"/>
              </w:rPr>
            </w:pPr>
            <w:r>
              <w:rPr>
                <w:smallCaps/>
                <w:sz w:val="16"/>
                <w:szCs w:val="16"/>
              </w:rPr>
              <w:t>Diane L. Houk</w:t>
            </w:r>
          </w:p>
          <w:p w:rsidR="000F6078" w:rsidRDefault="000F6078" w:rsidP="000F6078">
            <w:pPr>
              <w:jc w:val="right"/>
              <w:rPr>
                <w:smallCaps/>
                <w:sz w:val="16"/>
                <w:szCs w:val="16"/>
              </w:rPr>
            </w:pPr>
            <w:r>
              <w:rPr>
                <w:smallCaps/>
                <w:sz w:val="16"/>
                <w:szCs w:val="16"/>
              </w:rPr>
              <w:t>Jessica Clarke</w:t>
            </w:r>
          </w:p>
          <w:p w:rsidR="000F6078" w:rsidRPr="00FD58D8" w:rsidRDefault="000F6078" w:rsidP="002A04AC">
            <w:pPr>
              <w:jc w:val="right"/>
              <w:rPr>
                <w:smallCaps/>
                <w:sz w:val="16"/>
                <w:szCs w:val="16"/>
              </w:rPr>
            </w:pPr>
          </w:p>
          <w:p w:rsidR="004C1535" w:rsidRPr="00FD58D8" w:rsidRDefault="004C1535" w:rsidP="00FD58D8">
            <w:pPr>
              <w:tabs>
                <w:tab w:val="center" w:pos="1080"/>
              </w:tabs>
              <w:jc w:val="right"/>
              <w:rPr>
                <w:sz w:val="16"/>
                <w:szCs w:val="16"/>
              </w:rPr>
            </w:pPr>
            <w:r>
              <w:rPr>
                <w:smallCaps/>
                <w:sz w:val="16"/>
                <w:szCs w:val="16"/>
              </w:rPr>
              <w:t>Alison Frick</w:t>
            </w:r>
          </w:p>
          <w:p w:rsidR="004C1535" w:rsidRDefault="004C1535" w:rsidP="00FD58D8">
            <w:pPr>
              <w:jc w:val="right"/>
              <w:rPr>
                <w:smallCaps/>
                <w:sz w:val="16"/>
                <w:szCs w:val="16"/>
              </w:rPr>
            </w:pPr>
            <w:r>
              <w:rPr>
                <w:smallCaps/>
                <w:sz w:val="16"/>
                <w:szCs w:val="16"/>
              </w:rPr>
              <w:t>David Lebowitz</w:t>
            </w:r>
          </w:p>
          <w:p w:rsidR="004C1535" w:rsidRDefault="004C1535" w:rsidP="00FD58D8">
            <w:pPr>
              <w:jc w:val="right"/>
              <w:rPr>
                <w:smallCaps/>
                <w:sz w:val="16"/>
                <w:szCs w:val="16"/>
              </w:rPr>
            </w:pPr>
            <w:r>
              <w:rPr>
                <w:smallCaps/>
                <w:sz w:val="16"/>
                <w:szCs w:val="16"/>
              </w:rPr>
              <w:t>Douglas E. Lieb</w:t>
            </w:r>
          </w:p>
          <w:p w:rsidR="004C1535" w:rsidRDefault="004C1535" w:rsidP="00FD58D8">
            <w:pPr>
              <w:jc w:val="right"/>
              <w:rPr>
                <w:smallCaps/>
                <w:sz w:val="16"/>
                <w:szCs w:val="16"/>
              </w:rPr>
            </w:pPr>
            <w:r>
              <w:rPr>
                <w:smallCaps/>
                <w:sz w:val="16"/>
                <w:szCs w:val="16"/>
              </w:rPr>
              <w:t>Alanna Kaufman</w:t>
            </w:r>
          </w:p>
          <w:p w:rsidR="004C1535" w:rsidRDefault="004C1535" w:rsidP="00FD58D8">
            <w:pPr>
              <w:jc w:val="right"/>
              <w:rPr>
                <w:smallCaps/>
                <w:sz w:val="16"/>
                <w:szCs w:val="16"/>
              </w:rPr>
            </w:pPr>
            <w:r>
              <w:rPr>
                <w:smallCaps/>
                <w:sz w:val="16"/>
                <w:szCs w:val="16"/>
              </w:rPr>
              <w:t>Emma L. Freeman</w:t>
            </w:r>
          </w:p>
          <w:p w:rsidR="004C1535" w:rsidRDefault="004C1535" w:rsidP="00FD58D8">
            <w:pPr>
              <w:jc w:val="right"/>
              <w:rPr>
                <w:smallCaps/>
                <w:sz w:val="16"/>
                <w:szCs w:val="16"/>
              </w:rPr>
            </w:pPr>
            <w:r>
              <w:rPr>
                <w:smallCaps/>
                <w:sz w:val="16"/>
                <w:szCs w:val="16"/>
              </w:rPr>
              <w:t>David Berman</w:t>
            </w:r>
          </w:p>
          <w:p w:rsidR="000F6078" w:rsidRDefault="004C1535" w:rsidP="00FD58D8">
            <w:pPr>
              <w:jc w:val="right"/>
              <w:rPr>
                <w:smallCaps/>
                <w:sz w:val="16"/>
                <w:szCs w:val="16"/>
              </w:rPr>
            </w:pPr>
            <w:r>
              <w:rPr>
                <w:smallCaps/>
                <w:sz w:val="16"/>
                <w:szCs w:val="16"/>
              </w:rPr>
              <w:t>Ashok Chandran</w:t>
            </w:r>
          </w:p>
          <w:p w:rsidR="000F6078" w:rsidRDefault="000F6078" w:rsidP="00FD58D8">
            <w:pPr>
              <w:jc w:val="right"/>
              <w:rPr>
                <w:smallCaps/>
                <w:sz w:val="16"/>
                <w:szCs w:val="16"/>
              </w:rPr>
            </w:pPr>
          </w:p>
          <w:p w:rsidR="000F6078" w:rsidRPr="004C1535" w:rsidRDefault="000F6078" w:rsidP="00FD58D8">
            <w:pPr>
              <w:jc w:val="right"/>
              <w:rPr>
                <w:smallCaps/>
                <w:sz w:val="16"/>
                <w:szCs w:val="16"/>
              </w:rPr>
            </w:pPr>
            <w:r>
              <w:rPr>
                <w:smallCaps/>
                <w:sz w:val="16"/>
                <w:szCs w:val="16"/>
              </w:rPr>
              <w:t>Daniel Treiman</w:t>
            </w:r>
          </w:p>
        </w:tc>
      </w:tr>
    </w:tbl>
    <w:p w:rsidR="00617438" w:rsidRDefault="00617438">
      <w:pPr>
        <w:sectPr w:rsidR="00617438" w:rsidSect="004E69AC">
          <w:headerReference w:type="default" r:id="rId9"/>
          <w:pgSz w:w="12240" w:h="15840" w:code="1"/>
          <w:pgMar w:top="720" w:right="1080" w:bottom="1440" w:left="1080" w:header="720" w:footer="720" w:gutter="0"/>
          <w:cols w:space="720"/>
          <w:titlePg/>
          <w:docGrid w:linePitch="360"/>
        </w:sectPr>
      </w:pPr>
    </w:p>
    <w:p w:rsidR="006E20A9" w:rsidRDefault="006E20A9"/>
    <w:p w:rsidR="00E44FA2" w:rsidRPr="002E0DC6" w:rsidRDefault="0050067B" w:rsidP="00B804C7">
      <w:pPr>
        <w:pStyle w:val="A-DateClosing"/>
      </w:pPr>
      <w:r>
        <w:t>February 16, 2018</w:t>
      </w:r>
    </w:p>
    <w:p w:rsidR="00E44FA2" w:rsidRDefault="00E44FA2" w:rsidP="004E69AC"/>
    <w:p w:rsidR="00E44FA2" w:rsidRPr="006C13AA" w:rsidRDefault="0050067B" w:rsidP="00E44FA2">
      <w:pPr>
        <w:rPr>
          <w:b/>
          <w:i/>
        </w:rPr>
      </w:pPr>
      <w:r>
        <w:rPr>
          <w:b/>
          <w:i/>
        </w:rPr>
        <w:t>By Email and By Hand</w:t>
      </w:r>
      <w:bookmarkStart w:id="0" w:name="_GoBack"/>
      <w:bookmarkEnd w:id="0"/>
    </w:p>
    <w:p w:rsidR="00E44FA2" w:rsidRDefault="00E44FA2" w:rsidP="00E44FA2"/>
    <w:p w:rsidR="00E44FA2" w:rsidRDefault="00355FA8" w:rsidP="004E69AC">
      <w:r>
        <w:t>Daniel P. Jaffe</w:t>
      </w:r>
    </w:p>
    <w:p w:rsidR="00355FA8" w:rsidRDefault="00355FA8" w:rsidP="004E69AC">
      <w:proofErr w:type="spellStart"/>
      <w:r>
        <w:t>Husch</w:t>
      </w:r>
      <w:proofErr w:type="spellEnd"/>
      <w:r>
        <w:t xml:space="preserve"> Blackwell LLP</w:t>
      </w:r>
    </w:p>
    <w:p w:rsidR="00355FA8" w:rsidRDefault="00355FA8" w:rsidP="004E69AC">
      <w:r>
        <w:t>60 East 42</w:t>
      </w:r>
      <w:r w:rsidRPr="00355FA8">
        <w:rPr>
          <w:vertAlign w:val="superscript"/>
        </w:rPr>
        <w:t>nd</w:t>
      </w:r>
      <w:r>
        <w:t xml:space="preserve"> Street, Suite 4600</w:t>
      </w:r>
    </w:p>
    <w:p w:rsidR="00355FA8" w:rsidRDefault="00355FA8" w:rsidP="004E69AC">
      <w:r>
        <w:t>New York, NY 10165</w:t>
      </w:r>
    </w:p>
    <w:p w:rsidR="00E44FA2" w:rsidRDefault="00E44FA2" w:rsidP="00E44FA2"/>
    <w:p w:rsidR="00E44FA2" w:rsidRPr="00355FA8" w:rsidRDefault="00E44FA2" w:rsidP="00E44FA2">
      <w:pPr>
        <w:tabs>
          <w:tab w:val="left" w:pos="1440"/>
        </w:tabs>
      </w:pPr>
      <w:r>
        <w:tab/>
      </w:r>
      <w:r>
        <w:rPr>
          <w:i/>
        </w:rPr>
        <w:t>Re:</w:t>
      </w:r>
      <w:r w:rsidR="00355FA8">
        <w:rPr>
          <w:i/>
        </w:rPr>
        <w:tab/>
        <w:t>Peterson v. Monsanto Co.</w:t>
      </w:r>
      <w:r w:rsidR="00355FA8">
        <w:t xml:space="preserve"> – Subpoena </w:t>
      </w:r>
      <w:r w:rsidR="006F1199">
        <w:t xml:space="preserve">Issued to </w:t>
      </w:r>
      <w:proofErr w:type="spellStart"/>
      <w:r w:rsidR="00355FA8">
        <w:t>Avaaz</w:t>
      </w:r>
      <w:proofErr w:type="spellEnd"/>
    </w:p>
    <w:p w:rsidR="00E44FA2" w:rsidRDefault="00E44FA2" w:rsidP="00E44FA2"/>
    <w:p w:rsidR="00E44FA2" w:rsidRDefault="00ED3866" w:rsidP="00E44FA2">
      <w:bookmarkStart w:id="1" w:name="Text5"/>
      <w:r>
        <w:t xml:space="preserve">Dear </w:t>
      </w:r>
      <w:bookmarkEnd w:id="1"/>
      <w:r w:rsidR="00355FA8">
        <w:t>Mr. Jaffe</w:t>
      </w:r>
      <w:r w:rsidR="0065699C">
        <w:t>:</w:t>
      </w:r>
    </w:p>
    <w:p w:rsidR="00E44FA2" w:rsidRDefault="00E44FA2" w:rsidP="00E44FA2"/>
    <w:p w:rsidR="00542837" w:rsidRDefault="00542837" w:rsidP="00542837">
      <w:pPr>
        <w:widowControl/>
        <w:spacing w:after="240"/>
        <w:ind w:firstLine="1440"/>
      </w:pPr>
      <w:r>
        <w:rPr>
          <w:color w:val="000000"/>
        </w:rPr>
        <w:t xml:space="preserve">This firm represents the </w:t>
      </w:r>
      <w:proofErr w:type="spellStart"/>
      <w:r>
        <w:rPr>
          <w:color w:val="000000"/>
        </w:rPr>
        <w:t>Avaaz</w:t>
      </w:r>
      <w:proofErr w:type="spellEnd"/>
      <w:r>
        <w:rPr>
          <w:color w:val="000000"/>
        </w:rPr>
        <w:t xml:space="preserve"> Foundation (“</w:t>
      </w:r>
      <w:proofErr w:type="spellStart"/>
      <w:r>
        <w:rPr>
          <w:color w:val="000000"/>
        </w:rPr>
        <w:t>Avaaz</w:t>
      </w:r>
      <w:proofErr w:type="spellEnd"/>
      <w:r>
        <w:rPr>
          <w:color w:val="000000"/>
        </w:rPr>
        <w:t xml:space="preserve">”), a global civic movement with over 46 million members worldwide.  We received Monsanto’s subpoena in the </w:t>
      </w:r>
      <w:r>
        <w:rPr>
          <w:i/>
          <w:color w:val="000000"/>
        </w:rPr>
        <w:t>Peterson v. Monsanto</w:t>
      </w:r>
      <w:r>
        <w:rPr>
          <w:color w:val="000000"/>
        </w:rPr>
        <w:t xml:space="preserve"> case pending in the Circuit Court of St. Louis, Missouri.  We understand Monsanto has a legal right to obtain necessary discovery to defend against plaintiffs’ allegations, but we believe the information sought is irrelevant to the pending matter, </w:t>
      </w:r>
      <w:r w:rsidR="001D0BA4">
        <w:rPr>
          <w:color w:val="000000"/>
        </w:rPr>
        <w:t xml:space="preserve">that </w:t>
      </w:r>
      <w:r>
        <w:rPr>
          <w:color w:val="000000"/>
        </w:rPr>
        <w:t xml:space="preserve">the request is overbroad and unduly burdensome, and </w:t>
      </w:r>
      <w:r w:rsidR="001D0BA4">
        <w:rPr>
          <w:color w:val="000000"/>
        </w:rPr>
        <w:t xml:space="preserve">that </w:t>
      </w:r>
      <w:r>
        <w:rPr>
          <w:color w:val="000000"/>
        </w:rPr>
        <w:t xml:space="preserve">the subpoena violates our client’s First Amendment rights. </w:t>
      </w:r>
      <w:r w:rsidR="00991C39">
        <w:rPr>
          <w:color w:val="000000"/>
        </w:rPr>
        <w:t xml:space="preserve"> </w:t>
      </w:r>
      <w:r>
        <w:rPr>
          <w:color w:val="000000"/>
        </w:rPr>
        <w:t>Therefore, we are objecting to the subpoena in its entirety</w:t>
      </w:r>
      <w:r w:rsidR="00991C39">
        <w:rPr>
          <w:color w:val="000000"/>
        </w:rPr>
        <w:t xml:space="preserve"> and request that you withdraw it</w:t>
      </w:r>
      <w:r>
        <w:rPr>
          <w:color w:val="000000"/>
        </w:rPr>
        <w:t xml:space="preserve">.  </w:t>
      </w:r>
    </w:p>
    <w:p w:rsidR="00542837" w:rsidRDefault="00542837" w:rsidP="00542837">
      <w:pPr>
        <w:widowControl/>
        <w:spacing w:after="240"/>
        <w:ind w:firstLine="1440"/>
      </w:pPr>
      <w:r>
        <w:rPr>
          <w:color w:val="000000"/>
        </w:rPr>
        <w:t xml:space="preserve">The </w:t>
      </w:r>
      <w:r>
        <w:rPr>
          <w:i/>
          <w:color w:val="000000"/>
        </w:rPr>
        <w:t>Peterson</w:t>
      </w:r>
      <w:r>
        <w:rPr>
          <w:color w:val="000000"/>
        </w:rPr>
        <w:t xml:space="preserve"> case involves the allegation that two men in Illinois contracted non-Hodgkin’s lymphoma cancer from exposure to Roundup®, a Monsanto product that contains glyphosate.  Your subpoena purports to require </w:t>
      </w:r>
      <w:proofErr w:type="spellStart"/>
      <w:r>
        <w:rPr>
          <w:color w:val="000000"/>
        </w:rPr>
        <w:t>Avaaz</w:t>
      </w:r>
      <w:proofErr w:type="spellEnd"/>
      <w:r>
        <w:rPr>
          <w:color w:val="000000"/>
        </w:rPr>
        <w:t xml:space="preserve"> to provide you with copies, essentially, of all documents concerning </w:t>
      </w:r>
      <w:proofErr w:type="spellStart"/>
      <w:r>
        <w:rPr>
          <w:color w:val="000000"/>
        </w:rPr>
        <w:t>Avaaz’s</w:t>
      </w:r>
      <w:proofErr w:type="spellEnd"/>
      <w:r>
        <w:rPr>
          <w:color w:val="000000"/>
        </w:rPr>
        <w:t xml:space="preserve"> advocacy around Monsanto and glyphosate.  Such documents would include and reflect </w:t>
      </w:r>
      <w:proofErr w:type="spellStart"/>
      <w:r>
        <w:rPr>
          <w:color w:val="000000"/>
        </w:rPr>
        <w:t>Avaaz’s</w:t>
      </w:r>
      <w:proofErr w:type="spellEnd"/>
      <w:r>
        <w:rPr>
          <w:color w:val="000000"/>
        </w:rPr>
        <w:t xml:space="preserve"> internal deliberations about its political efforts, its strategies for dealing with public officials in the United States and Europe, its communications with its 46 million members, and its communications with allies and other persons concerned about glyphosate.  </w:t>
      </w:r>
      <w:r>
        <w:rPr>
          <w:i/>
          <w:color w:val="000000"/>
        </w:rPr>
        <w:t xml:space="preserve">All </w:t>
      </w:r>
      <w:r>
        <w:rPr>
          <w:color w:val="000000"/>
        </w:rPr>
        <w:t xml:space="preserve">such communications constitute core protected First Amendment speech, all involve the right of </w:t>
      </w:r>
      <w:proofErr w:type="spellStart"/>
      <w:r>
        <w:rPr>
          <w:color w:val="000000"/>
        </w:rPr>
        <w:t>Avaaz</w:t>
      </w:r>
      <w:proofErr w:type="spellEnd"/>
      <w:r>
        <w:rPr>
          <w:color w:val="000000"/>
        </w:rPr>
        <w:t xml:space="preserve"> and its members to work together and otherwise associate for political purposes, and </w:t>
      </w:r>
      <w:r>
        <w:rPr>
          <w:i/>
          <w:color w:val="000000"/>
        </w:rPr>
        <w:t>none</w:t>
      </w:r>
      <w:r>
        <w:rPr>
          <w:color w:val="000000"/>
        </w:rPr>
        <w:t xml:space="preserve"> has anything to do with how Ronald Peterson and Jeff Hall got non-Hodgkin’s lymphoma.</w:t>
      </w:r>
    </w:p>
    <w:p w:rsidR="00542837" w:rsidRDefault="00542837" w:rsidP="00542837">
      <w:pPr>
        <w:widowControl/>
        <w:spacing w:after="240"/>
        <w:ind w:firstLine="1440"/>
      </w:pPr>
      <w:r>
        <w:rPr>
          <w:b/>
          <w:color w:val="000000"/>
        </w:rPr>
        <w:t xml:space="preserve">The information sought is irrelevant to the </w:t>
      </w:r>
      <w:r>
        <w:rPr>
          <w:b/>
          <w:i/>
          <w:color w:val="000000"/>
        </w:rPr>
        <w:t>Peterson and Hall</w:t>
      </w:r>
      <w:r>
        <w:rPr>
          <w:b/>
          <w:color w:val="000000"/>
        </w:rPr>
        <w:t xml:space="preserve"> case.</w:t>
      </w:r>
      <w:r>
        <w:rPr>
          <w:color w:val="000000"/>
        </w:rPr>
        <w:t xml:space="preserve">  According to the subpoena, there is </w:t>
      </w:r>
      <w:r>
        <w:rPr>
          <w:i/>
          <w:color w:val="000000"/>
        </w:rPr>
        <w:t>only one</w:t>
      </w:r>
      <w:r>
        <w:rPr>
          <w:color w:val="000000"/>
        </w:rPr>
        <w:t xml:space="preserve"> reason it was issued, namely because, in a single paragraph of their 36-page lawsuit, Ronald Peterson and Jeff Hall alleged that “[s]</w:t>
      </w:r>
      <w:proofErr w:type="spellStart"/>
      <w:r>
        <w:rPr>
          <w:color w:val="000000"/>
        </w:rPr>
        <w:t>everal</w:t>
      </w:r>
      <w:proofErr w:type="spellEnd"/>
      <w:r>
        <w:rPr>
          <w:color w:val="000000"/>
        </w:rPr>
        <w:t xml:space="preserve"> countries around the world,” including the Netherlands, have banned herbicides containing glyphosate.</w:t>
      </w:r>
    </w:p>
    <w:p w:rsidR="00542837" w:rsidRDefault="00542837" w:rsidP="00542837">
      <w:pPr>
        <w:widowControl/>
        <w:spacing w:after="240"/>
        <w:ind w:firstLine="1440"/>
        <w:rPr>
          <w:i/>
        </w:rPr>
      </w:pPr>
      <w:r>
        <w:rPr>
          <w:color w:val="000000"/>
        </w:rPr>
        <w:lastRenderedPageBreak/>
        <w:t xml:space="preserve">While it is true that several countries have banned glyphosate and those herbicides, like Roundup®, that contain glyphosate, that fact has no bearing on how Messrs. Peterson and Hall got cancer.  Furthermore, </w:t>
      </w:r>
      <w:proofErr w:type="spellStart"/>
      <w:r>
        <w:rPr>
          <w:color w:val="000000"/>
        </w:rPr>
        <w:t>Avaaz</w:t>
      </w:r>
      <w:proofErr w:type="spellEnd"/>
      <w:r>
        <w:rPr>
          <w:color w:val="000000"/>
        </w:rPr>
        <w:t xml:space="preserve"> is an advocacy organization, not a medical or scientific one.  Its campaigning and advocacy </w:t>
      </w:r>
      <w:r w:rsidR="001D0BA4">
        <w:rPr>
          <w:color w:val="000000"/>
        </w:rPr>
        <w:t xml:space="preserve">around </w:t>
      </w:r>
      <w:r>
        <w:rPr>
          <w:color w:val="000000"/>
        </w:rPr>
        <w:t>glyphosate and Monsanto ha</w:t>
      </w:r>
      <w:r w:rsidR="001D0BA4">
        <w:rPr>
          <w:color w:val="000000"/>
        </w:rPr>
        <w:t>ve</w:t>
      </w:r>
      <w:r>
        <w:rPr>
          <w:color w:val="000000"/>
        </w:rPr>
        <w:t xml:space="preserve"> relied on the public findings of scientists, government bodies, and regulators. </w:t>
      </w:r>
      <w:r w:rsidR="001D0BA4">
        <w:rPr>
          <w:color w:val="000000"/>
        </w:rPr>
        <w:t xml:space="preserve"> </w:t>
      </w:r>
      <w:proofErr w:type="spellStart"/>
      <w:r>
        <w:rPr>
          <w:color w:val="000000"/>
        </w:rPr>
        <w:t>Avaaz</w:t>
      </w:r>
      <w:proofErr w:type="spellEnd"/>
      <w:r>
        <w:rPr>
          <w:color w:val="000000"/>
        </w:rPr>
        <w:t xml:space="preserve"> knows nothing about Mr. Peterson’s or Mr. Hall’s medical conditions beyond what they say in their complaint; indeed, </w:t>
      </w:r>
      <w:proofErr w:type="spellStart"/>
      <w:r>
        <w:rPr>
          <w:color w:val="000000"/>
        </w:rPr>
        <w:t>Avaaz</w:t>
      </w:r>
      <w:proofErr w:type="spellEnd"/>
      <w:r>
        <w:rPr>
          <w:color w:val="000000"/>
        </w:rPr>
        <w:t xml:space="preserve"> has never communicated with either of them.  </w:t>
      </w:r>
      <w:r w:rsidRPr="001D0BA4">
        <w:rPr>
          <w:color w:val="000000"/>
        </w:rPr>
        <w:t xml:space="preserve">Finally, </w:t>
      </w:r>
      <w:proofErr w:type="spellStart"/>
      <w:r w:rsidR="00F86932" w:rsidRPr="001D0BA4">
        <w:rPr>
          <w:color w:val="000000"/>
        </w:rPr>
        <w:t>Avaaz</w:t>
      </w:r>
      <w:proofErr w:type="spellEnd"/>
      <w:r w:rsidR="00F86932" w:rsidRPr="001D0BA4">
        <w:rPr>
          <w:color w:val="000000"/>
        </w:rPr>
        <w:t xml:space="preserve"> </w:t>
      </w:r>
      <w:r w:rsidR="000D3305" w:rsidRPr="001D0BA4">
        <w:rPr>
          <w:color w:val="000000"/>
        </w:rPr>
        <w:t xml:space="preserve">has never </w:t>
      </w:r>
      <w:r w:rsidR="001D0BA4">
        <w:rPr>
          <w:color w:val="000000"/>
        </w:rPr>
        <w:t xml:space="preserve">lobbied or </w:t>
      </w:r>
      <w:r w:rsidR="00A655FC" w:rsidRPr="001D0BA4">
        <w:rPr>
          <w:color w:val="000000"/>
        </w:rPr>
        <w:t xml:space="preserve">campaigned </w:t>
      </w:r>
      <w:r w:rsidR="00F86932" w:rsidRPr="001D0BA4">
        <w:rPr>
          <w:color w:val="000000"/>
        </w:rPr>
        <w:t xml:space="preserve">for the Netherlands to </w:t>
      </w:r>
      <w:r w:rsidR="00A655FC" w:rsidRPr="001D0BA4">
        <w:rPr>
          <w:color w:val="000000"/>
        </w:rPr>
        <w:t xml:space="preserve">change its domestic laws concerning </w:t>
      </w:r>
      <w:r w:rsidR="00F86932" w:rsidRPr="001D0BA4">
        <w:rPr>
          <w:color w:val="000000"/>
        </w:rPr>
        <w:t>glyphosate</w:t>
      </w:r>
      <w:r w:rsidRPr="001D0BA4">
        <w:rPr>
          <w:color w:val="000000"/>
        </w:rPr>
        <w:t>.</w:t>
      </w:r>
      <w:r>
        <w:rPr>
          <w:color w:val="000000"/>
        </w:rPr>
        <w:t xml:space="preserve">  </w:t>
      </w:r>
    </w:p>
    <w:p w:rsidR="00542837" w:rsidRDefault="001D0BA4" w:rsidP="00542837">
      <w:pPr>
        <w:widowControl/>
        <w:spacing w:after="240"/>
        <w:ind w:firstLine="1440"/>
      </w:pPr>
      <w:r>
        <w:rPr>
          <w:color w:val="000000"/>
        </w:rPr>
        <w:t>I</w:t>
      </w:r>
      <w:r w:rsidR="00542837">
        <w:rPr>
          <w:color w:val="000000"/>
        </w:rPr>
        <w:t xml:space="preserve">t seems clear that the stated reason for Monsanto’s subpoena may simply be a pretext to obtain access to non-public information about </w:t>
      </w:r>
      <w:proofErr w:type="spellStart"/>
      <w:r w:rsidR="00542837">
        <w:rPr>
          <w:color w:val="000000"/>
        </w:rPr>
        <w:t>Avaaz’s</w:t>
      </w:r>
      <w:proofErr w:type="spellEnd"/>
      <w:r w:rsidR="00542837">
        <w:rPr>
          <w:color w:val="000000"/>
        </w:rPr>
        <w:t xml:space="preserve"> successful efforts to persuade the European Union not to rubberstamp a 15-year renewal of Monsanto’s license </w:t>
      </w:r>
      <w:r w:rsidR="00542837" w:rsidRPr="007F5B03">
        <w:rPr>
          <w:color w:val="000000"/>
        </w:rPr>
        <w:t>to market and sell glyphosate</w:t>
      </w:r>
      <w:r w:rsidR="00542837">
        <w:rPr>
          <w:color w:val="000000"/>
        </w:rPr>
        <w:t xml:space="preserve">.  While the outcome of </w:t>
      </w:r>
      <w:proofErr w:type="spellStart"/>
      <w:r>
        <w:rPr>
          <w:color w:val="000000"/>
        </w:rPr>
        <w:t>Avaaz’s</w:t>
      </w:r>
      <w:proofErr w:type="spellEnd"/>
      <w:r w:rsidR="00542837">
        <w:rPr>
          <w:color w:val="000000"/>
        </w:rPr>
        <w:t xml:space="preserve"> campaign </w:t>
      </w:r>
      <w:r>
        <w:rPr>
          <w:color w:val="000000"/>
        </w:rPr>
        <w:t xml:space="preserve">to block licensure renewal </w:t>
      </w:r>
      <w:r w:rsidR="00542837">
        <w:rPr>
          <w:color w:val="000000"/>
        </w:rPr>
        <w:t>may hinder Monsanto</w:t>
      </w:r>
      <w:r>
        <w:rPr>
          <w:color w:val="000000"/>
        </w:rPr>
        <w:t xml:space="preserve"> in its </w:t>
      </w:r>
      <w:r w:rsidR="00542837">
        <w:rPr>
          <w:color w:val="000000"/>
        </w:rPr>
        <w:t xml:space="preserve">business, it is utterly irrelevant to the </w:t>
      </w:r>
      <w:r w:rsidR="00542837">
        <w:rPr>
          <w:i/>
          <w:color w:val="000000"/>
        </w:rPr>
        <w:t>Peterson</w:t>
      </w:r>
      <w:r w:rsidR="00991C39">
        <w:rPr>
          <w:i/>
          <w:color w:val="000000"/>
        </w:rPr>
        <w:t xml:space="preserve"> and Hall</w:t>
      </w:r>
      <w:r w:rsidR="00542837">
        <w:rPr>
          <w:i/>
          <w:color w:val="000000"/>
        </w:rPr>
        <w:t xml:space="preserve"> </w:t>
      </w:r>
      <w:r w:rsidR="00542837">
        <w:rPr>
          <w:color w:val="000000"/>
        </w:rPr>
        <w:t xml:space="preserve">case.  </w:t>
      </w:r>
      <w:r w:rsidR="00542837">
        <w:rPr>
          <w:b/>
          <w:color w:val="000000"/>
        </w:rPr>
        <w:t>The four specific advocacy efforts referenced in the subpoena</w:t>
      </w:r>
      <w:r w:rsidR="00542837">
        <w:rPr>
          <w:b/>
          <w:color w:val="000000"/>
          <w:vertAlign w:val="superscript"/>
        </w:rPr>
        <w:footnoteReference w:id="1"/>
      </w:r>
      <w:r w:rsidR="00542837">
        <w:rPr>
          <w:b/>
          <w:color w:val="000000"/>
        </w:rPr>
        <w:t xml:space="preserve"> occurred </w:t>
      </w:r>
      <w:r w:rsidR="00542837">
        <w:rPr>
          <w:b/>
          <w:i/>
          <w:color w:val="000000"/>
        </w:rPr>
        <w:t>after</w:t>
      </w:r>
      <w:r w:rsidR="00542837">
        <w:rPr>
          <w:b/>
          <w:color w:val="000000"/>
        </w:rPr>
        <w:t xml:space="preserve"> Peterson and Hall had already stopped using Roundup® and </w:t>
      </w:r>
      <w:r w:rsidR="00542837">
        <w:rPr>
          <w:b/>
          <w:i/>
          <w:color w:val="000000"/>
        </w:rPr>
        <w:t>after</w:t>
      </w:r>
      <w:r w:rsidR="00542837">
        <w:rPr>
          <w:b/>
          <w:color w:val="000000"/>
        </w:rPr>
        <w:t xml:space="preserve"> they had already been diagnosed with cancer.</w:t>
      </w:r>
      <w:r w:rsidR="00542837">
        <w:rPr>
          <w:color w:val="000000"/>
        </w:rPr>
        <w:t xml:space="preserve">  </w:t>
      </w:r>
      <w:proofErr w:type="spellStart"/>
      <w:r w:rsidR="00542837">
        <w:rPr>
          <w:color w:val="000000"/>
        </w:rPr>
        <w:t>Avaaz’s</w:t>
      </w:r>
      <w:proofErr w:type="spellEnd"/>
      <w:r w:rsidR="00542837">
        <w:rPr>
          <w:color w:val="000000"/>
        </w:rPr>
        <w:t xml:space="preserve"> later advocacy to European officials has nothing to do with the </w:t>
      </w:r>
      <w:r w:rsidR="00542837">
        <w:rPr>
          <w:i/>
          <w:color w:val="000000"/>
        </w:rPr>
        <w:t>Peterson and Hall</w:t>
      </w:r>
      <w:r w:rsidR="00542837">
        <w:rPr>
          <w:color w:val="000000"/>
        </w:rPr>
        <w:t xml:space="preserve"> case.  </w:t>
      </w:r>
      <w:r w:rsidR="00542837" w:rsidRPr="001D0BA4">
        <w:rPr>
          <w:color w:val="000000"/>
        </w:rPr>
        <w:t xml:space="preserve">Moreover, and quite apart from the timing issue, </w:t>
      </w:r>
      <w:proofErr w:type="spellStart"/>
      <w:r w:rsidR="00542837" w:rsidRPr="001D0BA4">
        <w:rPr>
          <w:color w:val="000000"/>
        </w:rPr>
        <w:t>Avaaz’s</w:t>
      </w:r>
      <w:proofErr w:type="spellEnd"/>
      <w:r w:rsidR="00542837" w:rsidRPr="001D0BA4">
        <w:rPr>
          <w:color w:val="000000"/>
        </w:rPr>
        <w:t xml:space="preserve"> internal deliberations </w:t>
      </w:r>
      <w:r w:rsidR="00991C39" w:rsidRPr="001D0BA4">
        <w:rPr>
          <w:color w:val="000000"/>
        </w:rPr>
        <w:t xml:space="preserve">about </w:t>
      </w:r>
      <w:r w:rsidR="00252454" w:rsidRPr="001D0BA4">
        <w:rPr>
          <w:color w:val="000000"/>
        </w:rPr>
        <w:t xml:space="preserve">political </w:t>
      </w:r>
      <w:r w:rsidR="00991C39" w:rsidRPr="001D0BA4">
        <w:rPr>
          <w:color w:val="000000"/>
        </w:rPr>
        <w:t xml:space="preserve">strategy </w:t>
      </w:r>
      <w:r w:rsidR="00542837" w:rsidRPr="001D0BA4">
        <w:rPr>
          <w:color w:val="000000"/>
        </w:rPr>
        <w:t xml:space="preserve">and </w:t>
      </w:r>
      <w:r w:rsidR="00991C39" w:rsidRPr="001D0BA4">
        <w:rPr>
          <w:color w:val="000000"/>
        </w:rPr>
        <w:t xml:space="preserve">its </w:t>
      </w:r>
      <w:r w:rsidR="00542837" w:rsidRPr="001D0BA4">
        <w:rPr>
          <w:color w:val="000000"/>
        </w:rPr>
        <w:t xml:space="preserve">communications with its members </w:t>
      </w:r>
      <w:r w:rsidRPr="004D2C8F">
        <w:t>and others</w:t>
      </w:r>
      <w:r w:rsidRPr="001D0BA4">
        <w:t xml:space="preserve"> </w:t>
      </w:r>
      <w:r w:rsidR="00E020A7">
        <w:rPr>
          <w:color w:val="000000"/>
        </w:rPr>
        <w:t xml:space="preserve">are irrelevant to </w:t>
      </w:r>
      <w:r w:rsidR="00542837" w:rsidRPr="001D0BA4">
        <w:rPr>
          <w:color w:val="000000"/>
        </w:rPr>
        <w:t>whether glyphosate is or is not carcinogenic, or whether Monsanto should or should not have known it was dangerous.</w:t>
      </w:r>
      <w:r w:rsidR="00542837">
        <w:rPr>
          <w:color w:val="000000"/>
        </w:rPr>
        <w:t xml:space="preserve">  </w:t>
      </w:r>
    </w:p>
    <w:p w:rsidR="00542837" w:rsidRDefault="00542837" w:rsidP="00542837">
      <w:pPr>
        <w:widowControl/>
        <w:spacing w:after="240"/>
        <w:ind w:firstLine="1440"/>
      </w:pPr>
      <w:r>
        <w:rPr>
          <w:color w:val="000000"/>
        </w:rPr>
        <w:t xml:space="preserve">The subpoena, by its terms, also calls for the production of thousands of documents about </w:t>
      </w:r>
      <w:proofErr w:type="spellStart"/>
      <w:r>
        <w:rPr>
          <w:color w:val="000000"/>
        </w:rPr>
        <w:t>Avaaz’s</w:t>
      </w:r>
      <w:proofErr w:type="spellEnd"/>
      <w:r>
        <w:rPr>
          <w:color w:val="000000"/>
        </w:rPr>
        <w:t xml:space="preserve"> ongoing campaign to stop the merger between Monsanto and Bayer and its successful 2013 effort to block a Monsanto seed factory in Argentina.  These campaigns were directed at other aspects of Monsanto’s business to which </w:t>
      </w:r>
      <w:proofErr w:type="spellStart"/>
      <w:r>
        <w:rPr>
          <w:color w:val="000000"/>
        </w:rPr>
        <w:t>Avaaz</w:t>
      </w:r>
      <w:proofErr w:type="spellEnd"/>
      <w:r>
        <w:rPr>
          <w:color w:val="000000"/>
        </w:rPr>
        <w:t xml:space="preserve"> objects—</w:t>
      </w:r>
      <w:r w:rsidRPr="004D2C8F">
        <w:rPr>
          <w:color w:val="000000"/>
        </w:rPr>
        <w:t>specifically, the production of genetically-modified seeds and the antitrust implications of a merger with Bayer</w:t>
      </w:r>
      <w:r>
        <w:rPr>
          <w:color w:val="000000"/>
        </w:rPr>
        <w:t>.  They were not directed at glyphosate</w:t>
      </w:r>
      <w:r w:rsidR="001D0BA4">
        <w:rPr>
          <w:color w:val="000000"/>
        </w:rPr>
        <w:t xml:space="preserve"> and obviously are wholly unrelated to the issues in </w:t>
      </w:r>
      <w:r w:rsidR="001D0BA4" w:rsidRPr="001D0BA4">
        <w:rPr>
          <w:i/>
          <w:color w:val="000000"/>
        </w:rPr>
        <w:t>Peterson and Hall</w:t>
      </w:r>
      <w:r>
        <w:rPr>
          <w:color w:val="000000"/>
        </w:rPr>
        <w:t xml:space="preserve">.  </w:t>
      </w:r>
    </w:p>
    <w:p w:rsidR="00542837" w:rsidRDefault="00542837" w:rsidP="00542837">
      <w:pPr>
        <w:widowControl/>
        <w:spacing w:after="240"/>
        <w:ind w:firstLine="1440"/>
      </w:pPr>
      <w:r>
        <w:rPr>
          <w:color w:val="000000"/>
        </w:rPr>
        <w:t xml:space="preserve">The mismatch between </w:t>
      </w:r>
      <w:r w:rsidR="001D0BA4">
        <w:rPr>
          <w:color w:val="000000"/>
        </w:rPr>
        <w:t xml:space="preserve">Messrs. </w:t>
      </w:r>
      <w:r>
        <w:rPr>
          <w:color w:val="000000"/>
        </w:rPr>
        <w:t>Peterson and Hall’s legal claims and the documents requested by Monsanto’s subpoena suggest a hidden purpose: to harass and intimidate a citizens’ movement.  This purpose is improper and is</w:t>
      </w:r>
      <w:r w:rsidR="00991C39">
        <w:rPr>
          <w:color w:val="000000"/>
        </w:rPr>
        <w:t xml:space="preserve"> grounds to quash the subpoena</w:t>
      </w:r>
      <w:r>
        <w:rPr>
          <w:color w:val="000000"/>
        </w:rPr>
        <w:t xml:space="preserve">.  </w:t>
      </w:r>
      <w:r>
        <w:rPr>
          <w:i/>
          <w:color w:val="000000"/>
        </w:rPr>
        <w:t xml:space="preserve">See </w:t>
      </w:r>
      <w:r>
        <w:rPr>
          <w:color w:val="000000"/>
        </w:rPr>
        <w:t xml:space="preserve">CPLR 2304; </w:t>
      </w:r>
      <w:proofErr w:type="spellStart"/>
      <w:r>
        <w:rPr>
          <w:i/>
          <w:color w:val="000000"/>
        </w:rPr>
        <w:t>Kapon</w:t>
      </w:r>
      <w:proofErr w:type="spellEnd"/>
      <w:r>
        <w:rPr>
          <w:i/>
          <w:color w:val="000000"/>
        </w:rPr>
        <w:t xml:space="preserve"> v. Koch</w:t>
      </w:r>
      <w:r>
        <w:rPr>
          <w:color w:val="000000"/>
        </w:rPr>
        <w:t>, 23 N.Y.3d 32, 38-39 (2014).</w:t>
      </w:r>
    </w:p>
    <w:p w:rsidR="00542837" w:rsidRDefault="00542837" w:rsidP="00542837">
      <w:pPr>
        <w:widowControl/>
        <w:spacing w:after="240"/>
        <w:ind w:firstLine="1440"/>
      </w:pPr>
      <w:r>
        <w:rPr>
          <w:b/>
          <w:color w:val="000000"/>
        </w:rPr>
        <w:t xml:space="preserve">The subpoena is unconstitutionally intrusive and it violates </w:t>
      </w:r>
      <w:proofErr w:type="spellStart"/>
      <w:r>
        <w:rPr>
          <w:b/>
          <w:color w:val="000000"/>
        </w:rPr>
        <w:t>Avaaz’s</w:t>
      </w:r>
      <w:proofErr w:type="spellEnd"/>
      <w:r>
        <w:rPr>
          <w:b/>
          <w:color w:val="000000"/>
        </w:rPr>
        <w:t xml:space="preserve"> speech and associational rights.</w:t>
      </w:r>
      <w:r>
        <w:rPr>
          <w:color w:val="000000"/>
        </w:rPr>
        <w:t xml:space="preserve">  </w:t>
      </w:r>
      <w:proofErr w:type="spellStart"/>
      <w:r>
        <w:rPr>
          <w:color w:val="000000"/>
        </w:rPr>
        <w:t>Avaaz’s</w:t>
      </w:r>
      <w:proofErr w:type="spellEnd"/>
      <w:r>
        <w:rPr>
          <w:color w:val="000000"/>
        </w:rPr>
        <w:t xml:space="preserve"> activities</w:t>
      </w:r>
      <w:r w:rsidR="001D0BA4">
        <w:rPr>
          <w:color w:val="000000"/>
        </w:rPr>
        <w:t xml:space="preserve"> c</w:t>
      </w:r>
      <w:r>
        <w:rPr>
          <w:color w:val="000000"/>
        </w:rPr>
        <w:t>oncerning Monsanto</w:t>
      </w:r>
      <w:r w:rsidR="001D0BA4">
        <w:rPr>
          <w:color w:val="000000"/>
        </w:rPr>
        <w:t xml:space="preserve"> and </w:t>
      </w:r>
      <w:r>
        <w:rPr>
          <w:color w:val="000000"/>
        </w:rPr>
        <w:t>glyphosate</w:t>
      </w:r>
      <w:r w:rsidR="001D0BA4">
        <w:rPr>
          <w:color w:val="000000"/>
        </w:rPr>
        <w:t xml:space="preserve"> —</w:t>
      </w:r>
      <w:r>
        <w:rPr>
          <w:color w:val="000000"/>
        </w:rPr>
        <w:t xml:space="preserve">and every other aspect of its work—are protected by the First Amendment’s guarantees of freedom of speech and association.  At its core, </w:t>
      </w:r>
      <w:proofErr w:type="spellStart"/>
      <w:r>
        <w:rPr>
          <w:color w:val="000000"/>
        </w:rPr>
        <w:t>Avaaz</w:t>
      </w:r>
      <w:proofErr w:type="spellEnd"/>
      <w:r>
        <w:rPr>
          <w:color w:val="000000"/>
        </w:rPr>
        <w:t xml:space="preserve"> communicates with its members to find out what issues matter most to them; it researches winning strategies to tackle those issues; </w:t>
      </w:r>
      <w:r w:rsidR="001D0BA4">
        <w:rPr>
          <w:color w:val="000000"/>
        </w:rPr>
        <w:t>it</w:t>
      </w:r>
      <w:r>
        <w:rPr>
          <w:color w:val="000000"/>
        </w:rPr>
        <w:t xml:space="preserve"> enables people to take join together to win meaningful change by signing petitions, making donations, and organizing events; it engages directly with government officials around the world; and it </w:t>
      </w:r>
      <w:r>
        <w:rPr>
          <w:color w:val="000000"/>
        </w:rPr>
        <w:lastRenderedPageBreak/>
        <w:t>works alongside other organizations and people who share the same goals.  Nothing could be more central to the First Amendment than this.</w:t>
      </w:r>
    </w:p>
    <w:p w:rsidR="00542837" w:rsidRDefault="00542837" w:rsidP="00542837">
      <w:pPr>
        <w:widowControl/>
        <w:spacing w:after="240"/>
        <w:ind w:firstLine="1440"/>
      </w:pPr>
      <w:r>
        <w:rPr>
          <w:color w:val="000000"/>
        </w:rPr>
        <w:t xml:space="preserve">Forcing </w:t>
      </w:r>
      <w:proofErr w:type="spellStart"/>
      <w:r>
        <w:rPr>
          <w:color w:val="000000"/>
        </w:rPr>
        <w:t>Avaaz</w:t>
      </w:r>
      <w:proofErr w:type="spellEnd"/>
      <w:r>
        <w:rPr>
          <w:color w:val="000000"/>
        </w:rPr>
        <w:t xml:space="preserve"> to provide th</w:t>
      </w:r>
      <w:r w:rsidR="001D0BA4">
        <w:rPr>
          <w:color w:val="000000"/>
        </w:rPr>
        <w:t>e</w:t>
      </w:r>
      <w:r>
        <w:rPr>
          <w:color w:val="000000"/>
        </w:rPr>
        <w:t xml:space="preserve"> material</w:t>
      </w:r>
      <w:r w:rsidR="001D0BA4">
        <w:rPr>
          <w:color w:val="000000"/>
        </w:rPr>
        <w:t xml:space="preserve"> requested to Monsanto</w:t>
      </w:r>
      <w:r>
        <w:rPr>
          <w:color w:val="000000"/>
        </w:rPr>
        <w:t xml:space="preserve"> violates the Constitution.  “</w:t>
      </w:r>
      <w:r>
        <w:rPr>
          <w:color w:val="212121"/>
        </w:rPr>
        <w:t xml:space="preserve">The Supreme Court has long recognized that compelled disclosure of political affiliations and activities can impose just as substantial a burden on First Amendment rights as can direct regulation.”  </w:t>
      </w:r>
      <w:proofErr w:type="gramStart"/>
      <w:r>
        <w:rPr>
          <w:i/>
          <w:color w:val="212121"/>
        </w:rPr>
        <w:t>AFL-CIO v. FEC</w:t>
      </w:r>
      <w:r>
        <w:rPr>
          <w:color w:val="212121"/>
        </w:rPr>
        <w:t>, 333 F.3d 168, 176 (D.C. Cir. 2003).</w:t>
      </w:r>
      <w:proofErr w:type="gramEnd"/>
      <w:r>
        <w:rPr>
          <w:color w:val="212121"/>
        </w:rPr>
        <w:t xml:space="preserve">  To quash the subpoena on First Amendment grounds, </w:t>
      </w:r>
      <w:proofErr w:type="spellStart"/>
      <w:r>
        <w:rPr>
          <w:color w:val="212121"/>
        </w:rPr>
        <w:t>Avaaz</w:t>
      </w:r>
      <w:proofErr w:type="spellEnd"/>
      <w:r>
        <w:rPr>
          <w:color w:val="212121"/>
        </w:rPr>
        <w:t xml:space="preserve"> has a “light” burden to show harm to its or its members’ expressive activities.  The burden then shifts to Monsanto to show a </w:t>
      </w:r>
      <w:r>
        <w:rPr>
          <w:i/>
          <w:color w:val="212121"/>
        </w:rPr>
        <w:t>compelling</w:t>
      </w:r>
      <w:r>
        <w:rPr>
          <w:color w:val="000000"/>
        </w:rPr>
        <w:t xml:space="preserve"> need for the evidence</w:t>
      </w:r>
      <w:r>
        <w:rPr>
          <w:color w:val="212121"/>
        </w:rPr>
        <w:t xml:space="preserve">.  </w:t>
      </w:r>
      <w:proofErr w:type="gramStart"/>
      <w:r>
        <w:rPr>
          <w:i/>
          <w:color w:val="000000"/>
        </w:rPr>
        <w:t>N.Y. State Nat’l Org. for Women v. Terry</w:t>
      </w:r>
      <w:r>
        <w:rPr>
          <w:color w:val="000000"/>
        </w:rPr>
        <w:t>, 886 F.2d 1339, 1355 (1989).</w:t>
      </w:r>
      <w:proofErr w:type="gramEnd"/>
    </w:p>
    <w:p w:rsidR="00542837" w:rsidRDefault="00542837" w:rsidP="00542837">
      <w:pPr>
        <w:widowControl/>
        <w:spacing w:after="240"/>
        <w:ind w:firstLine="1440"/>
      </w:pPr>
      <w:r>
        <w:rPr>
          <w:color w:val="000000"/>
        </w:rPr>
        <w:t xml:space="preserve">The harm is clear.  </w:t>
      </w:r>
      <w:proofErr w:type="spellStart"/>
      <w:r>
        <w:rPr>
          <w:color w:val="000000"/>
        </w:rPr>
        <w:t>Avaaz</w:t>
      </w:r>
      <w:proofErr w:type="spellEnd"/>
      <w:r>
        <w:rPr>
          <w:color w:val="000000"/>
        </w:rPr>
        <w:t xml:space="preserve"> cannot do what it does, free of intimidation and “chill,” if its opponents have fr</w:t>
      </w:r>
      <w:r w:rsidR="001D0BA4">
        <w:rPr>
          <w:color w:val="000000"/>
        </w:rPr>
        <w:t xml:space="preserve">ee access to its work product.  </w:t>
      </w:r>
      <w:r>
        <w:rPr>
          <w:color w:val="000000"/>
        </w:rPr>
        <w:t>“Implicit in the right to associate with others to advance one’s shared political beliefs is the right to exchange ideas and formulate strategy and messages, and to do so in private.</w:t>
      </w:r>
      <w:r>
        <w:rPr>
          <w:color w:val="000000"/>
          <w:vertAlign w:val="superscript"/>
        </w:rPr>
        <w:t xml:space="preserve"> </w:t>
      </w:r>
      <w:r>
        <w:rPr>
          <w:color w:val="000000"/>
        </w:rPr>
        <w:t xml:space="preserve"> Compelling disclosure of internal campaign communications can chill the exercise of these rights.”  </w:t>
      </w:r>
      <w:proofErr w:type="gramStart"/>
      <w:r>
        <w:rPr>
          <w:i/>
          <w:color w:val="000000"/>
        </w:rPr>
        <w:t>Perry v. Schwarzenegger</w:t>
      </w:r>
      <w:r>
        <w:rPr>
          <w:color w:val="000000"/>
        </w:rPr>
        <w:t>, 591 F.3d 1147, 1162-63 (9th Cir. 2010).</w:t>
      </w:r>
      <w:proofErr w:type="gramEnd"/>
      <w:r>
        <w:rPr>
          <w:color w:val="000000"/>
        </w:rPr>
        <w:t xml:space="preserve">  And</w:t>
      </w:r>
      <w:r w:rsidR="001D0BA4">
        <w:rPr>
          <w:color w:val="000000"/>
        </w:rPr>
        <w:t>,</w:t>
      </w:r>
      <w:r>
        <w:rPr>
          <w:color w:val="000000"/>
        </w:rPr>
        <w:t xml:space="preserve"> given Monsanto’s history of investigating scientists, journalists, and farmers who oppose it,</w:t>
      </w:r>
      <w:r>
        <w:rPr>
          <w:color w:val="000000"/>
          <w:vertAlign w:val="superscript"/>
        </w:rPr>
        <w:footnoteReference w:id="2"/>
      </w:r>
      <w:r>
        <w:rPr>
          <w:color w:val="000000"/>
        </w:rPr>
        <w:t xml:space="preserve"> </w:t>
      </w:r>
      <w:proofErr w:type="spellStart"/>
      <w:r>
        <w:rPr>
          <w:color w:val="000000"/>
        </w:rPr>
        <w:t>Avaaz</w:t>
      </w:r>
      <w:proofErr w:type="spellEnd"/>
      <w:r>
        <w:rPr>
          <w:color w:val="000000"/>
        </w:rPr>
        <w:t xml:space="preserve"> is justifiably concerned about turning over the </w:t>
      </w:r>
      <w:r w:rsidR="001D0BA4">
        <w:rPr>
          <w:color w:val="000000"/>
        </w:rPr>
        <w:t>private</w:t>
      </w:r>
      <w:r>
        <w:rPr>
          <w:color w:val="000000"/>
        </w:rPr>
        <w:t xml:space="preserve"> information of its staff and members to Monsanto.</w:t>
      </w:r>
    </w:p>
    <w:p w:rsidR="00542837" w:rsidRDefault="00542837" w:rsidP="00542837">
      <w:pPr>
        <w:widowControl/>
        <w:spacing w:after="240"/>
        <w:ind w:firstLine="1440"/>
      </w:pPr>
      <w:r>
        <w:rPr>
          <w:color w:val="000000"/>
        </w:rPr>
        <w:t xml:space="preserve">Monsanto has no need for the information it seeks by this overbroad subpoena, let alone a </w:t>
      </w:r>
      <w:r>
        <w:rPr>
          <w:i/>
          <w:color w:val="000000"/>
        </w:rPr>
        <w:t>compelling</w:t>
      </w:r>
      <w:r>
        <w:rPr>
          <w:color w:val="000000"/>
        </w:rPr>
        <w:t xml:space="preserve"> one which the Constitution would require them to demonstrate.  </w:t>
      </w:r>
      <w:proofErr w:type="spellStart"/>
      <w:r>
        <w:rPr>
          <w:color w:val="000000"/>
        </w:rPr>
        <w:t>Avaaz’s</w:t>
      </w:r>
      <w:proofErr w:type="spellEnd"/>
      <w:r>
        <w:rPr>
          <w:color w:val="000000"/>
        </w:rPr>
        <w:t xml:space="preserve"> strategy for convincing European officials not to reiss</w:t>
      </w:r>
      <w:r w:rsidR="007F5B03">
        <w:rPr>
          <w:color w:val="000000"/>
        </w:rPr>
        <w:t>ue a 15-year license for glyphos</w:t>
      </w:r>
      <w:r>
        <w:rPr>
          <w:color w:val="000000"/>
        </w:rPr>
        <w:t xml:space="preserve">ate will have no bearing on, much less assist, Monsanto’s defense in the </w:t>
      </w:r>
      <w:r>
        <w:rPr>
          <w:i/>
          <w:color w:val="000000"/>
        </w:rPr>
        <w:t>Peterson</w:t>
      </w:r>
      <w:r w:rsidR="001D0BA4">
        <w:rPr>
          <w:i/>
          <w:color w:val="000000"/>
        </w:rPr>
        <w:t xml:space="preserve"> and Hall</w:t>
      </w:r>
      <w:r>
        <w:rPr>
          <w:i/>
          <w:color w:val="000000"/>
        </w:rPr>
        <w:t xml:space="preserve"> </w:t>
      </w:r>
      <w:r>
        <w:rPr>
          <w:color w:val="000000"/>
        </w:rPr>
        <w:t>case.</w:t>
      </w:r>
    </w:p>
    <w:p w:rsidR="00542837" w:rsidRDefault="00542837" w:rsidP="00542837">
      <w:pPr>
        <w:widowControl/>
        <w:spacing w:after="240"/>
        <w:ind w:firstLine="1440"/>
      </w:pPr>
      <w:r>
        <w:rPr>
          <w:b/>
          <w:color w:val="000000"/>
        </w:rPr>
        <w:t xml:space="preserve">The subpoena is overbroad and imposes an undue burden on </w:t>
      </w:r>
      <w:proofErr w:type="spellStart"/>
      <w:r>
        <w:rPr>
          <w:b/>
          <w:color w:val="000000"/>
        </w:rPr>
        <w:t>Avaaz</w:t>
      </w:r>
      <w:proofErr w:type="spellEnd"/>
      <w:r>
        <w:rPr>
          <w:b/>
          <w:color w:val="000000"/>
        </w:rPr>
        <w:t xml:space="preserve">.  </w:t>
      </w:r>
      <w:proofErr w:type="spellStart"/>
      <w:r>
        <w:rPr>
          <w:color w:val="000000"/>
        </w:rPr>
        <w:t>Avaaz</w:t>
      </w:r>
      <w:proofErr w:type="spellEnd"/>
      <w:r>
        <w:rPr>
          <w:color w:val="000000"/>
        </w:rPr>
        <w:t xml:space="preserve"> employs more than 100 people in 23 countries around the globe.  These staffers, like </w:t>
      </w:r>
      <w:proofErr w:type="spellStart"/>
      <w:r>
        <w:rPr>
          <w:color w:val="000000"/>
        </w:rPr>
        <w:t>Avaaz’s</w:t>
      </w:r>
      <w:proofErr w:type="spellEnd"/>
      <w:r>
        <w:rPr>
          <w:color w:val="000000"/>
        </w:rPr>
        <w:t xml:space="preserve"> tens of millions of members, speak and write in many languages.  Because </w:t>
      </w:r>
      <w:proofErr w:type="spellStart"/>
      <w:r>
        <w:rPr>
          <w:color w:val="000000"/>
        </w:rPr>
        <w:t>Avaaz</w:t>
      </w:r>
      <w:proofErr w:type="spellEnd"/>
      <w:r>
        <w:rPr>
          <w:color w:val="000000"/>
        </w:rPr>
        <w:t xml:space="preserve"> works collaboratively, nearly every one of its employees has worked on the glyphosate campaign, and the subpoena would require </w:t>
      </w:r>
      <w:proofErr w:type="spellStart"/>
      <w:r>
        <w:rPr>
          <w:color w:val="000000"/>
        </w:rPr>
        <w:t>Avaaz</w:t>
      </w:r>
      <w:proofErr w:type="spellEnd"/>
      <w:r>
        <w:rPr>
          <w:color w:val="000000"/>
        </w:rPr>
        <w:t xml:space="preserve"> to search </w:t>
      </w:r>
      <w:r w:rsidRPr="001D0BA4">
        <w:rPr>
          <w:i/>
          <w:color w:val="000000"/>
        </w:rPr>
        <w:t>all</w:t>
      </w:r>
      <w:r>
        <w:rPr>
          <w:color w:val="000000"/>
        </w:rPr>
        <w:t xml:space="preserve"> of their emails and files going back </w:t>
      </w:r>
      <w:r w:rsidRPr="001D0BA4">
        <w:rPr>
          <w:i/>
          <w:color w:val="000000"/>
        </w:rPr>
        <w:t>years</w:t>
      </w:r>
      <w:r>
        <w:rPr>
          <w:color w:val="000000"/>
        </w:rPr>
        <w:t xml:space="preserve">.  And, since </w:t>
      </w:r>
      <w:proofErr w:type="spellStart"/>
      <w:r>
        <w:rPr>
          <w:color w:val="000000"/>
        </w:rPr>
        <w:t>Avaaz</w:t>
      </w:r>
      <w:proofErr w:type="spellEnd"/>
      <w:r>
        <w:rPr>
          <w:color w:val="000000"/>
        </w:rPr>
        <w:t xml:space="preserve"> regularly consults lawyers in planning its campaigns, everything responsive will need to be reviewed for attorney-client privilege.</w:t>
      </w:r>
    </w:p>
    <w:p w:rsidR="00542837" w:rsidRDefault="00542837" w:rsidP="00542837">
      <w:pPr>
        <w:widowControl/>
        <w:spacing w:after="240"/>
        <w:ind w:firstLine="1440"/>
      </w:pPr>
      <w:bookmarkStart w:id="2" w:name="_30j0zll" w:colFirst="0" w:colLast="0"/>
      <w:bookmarkEnd w:id="2"/>
      <w:proofErr w:type="spellStart"/>
      <w:r>
        <w:rPr>
          <w:color w:val="000000"/>
        </w:rPr>
        <w:t>Avaaz</w:t>
      </w:r>
      <w:proofErr w:type="spellEnd"/>
      <w:r>
        <w:rPr>
          <w:color w:val="000000"/>
        </w:rPr>
        <w:t xml:space="preserve"> </w:t>
      </w:r>
      <w:r w:rsidR="00B62087">
        <w:rPr>
          <w:color w:val="000000"/>
        </w:rPr>
        <w:t xml:space="preserve">has </w:t>
      </w:r>
      <w:r>
        <w:rPr>
          <w:color w:val="000000"/>
        </w:rPr>
        <w:t>also engaged repeatedly with its 46 million members—in different configurations and in different languages—about glyphosate.  These communications began years ago and, while they likely exist somewhere within the organization’s computer infrastructure, they would be extremely difficult to recover.  The costs of doing so</w:t>
      </w:r>
      <w:r w:rsidR="00B62087">
        <w:rPr>
          <w:color w:val="000000"/>
        </w:rPr>
        <w:t xml:space="preserve"> and of </w:t>
      </w:r>
      <w:r>
        <w:rPr>
          <w:color w:val="000000"/>
        </w:rPr>
        <w:t xml:space="preserve">reviewing and producing such materials would be enormous—and devastating to </w:t>
      </w:r>
      <w:proofErr w:type="spellStart"/>
      <w:r>
        <w:rPr>
          <w:color w:val="000000"/>
        </w:rPr>
        <w:t>Avaaz’s</w:t>
      </w:r>
      <w:proofErr w:type="spellEnd"/>
      <w:r>
        <w:rPr>
          <w:color w:val="000000"/>
        </w:rPr>
        <w:t xml:space="preserve"> core mission.</w:t>
      </w:r>
    </w:p>
    <w:p w:rsidR="00542837" w:rsidRDefault="00542837" w:rsidP="00542837">
      <w:pPr>
        <w:widowControl/>
        <w:spacing w:after="240"/>
        <w:ind w:firstLine="1440"/>
      </w:pPr>
      <w:r>
        <w:rPr>
          <w:color w:val="000000"/>
        </w:rPr>
        <w:t xml:space="preserve">In short, responding to the subpoena will cost </w:t>
      </w:r>
      <w:proofErr w:type="spellStart"/>
      <w:r>
        <w:rPr>
          <w:color w:val="000000"/>
        </w:rPr>
        <w:t>Avaaz</w:t>
      </w:r>
      <w:proofErr w:type="spellEnd"/>
      <w:r>
        <w:rPr>
          <w:color w:val="000000"/>
        </w:rPr>
        <w:t xml:space="preserve"> thousands of person-hours and hundreds of thousands of dollars, all for no legitimate reason.  If Monsanto refuses to withdraw the subpoena, we will </w:t>
      </w:r>
      <w:r w:rsidR="00B62087">
        <w:rPr>
          <w:color w:val="000000"/>
        </w:rPr>
        <w:t xml:space="preserve">seek and obtain </w:t>
      </w:r>
      <w:r>
        <w:rPr>
          <w:color w:val="000000"/>
        </w:rPr>
        <w:t xml:space="preserve">a protective order to avoid this undue burden.  </w:t>
      </w:r>
      <w:r>
        <w:rPr>
          <w:i/>
          <w:color w:val="000000"/>
        </w:rPr>
        <w:lastRenderedPageBreak/>
        <w:t xml:space="preserve">See </w:t>
      </w:r>
      <w:r>
        <w:rPr>
          <w:color w:val="000000"/>
        </w:rPr>
        <w:t xml:space="preserve">CPLR 3103; </w:t>
      </w:r>
      <w:r>
        <w:rPr>
          <w:i/>
          <w:color w:val="000000"/>
        </w:rPr>
        <w:t>Application of R.J. Reynolds Tobacco Co.</w:t>
      </w:r>
      <w:r>
        <w:rPr>
          <w:color w:val="000000"/>
        </w:rPr>
        <w:t xml:space="preserve">, 136 Misc. 2d 282 (Sup. </w:t>
      </w:r>
      <w:proofErr w:type="gramStart"/>
      <w:r>
        <w:rPr>
          <w:color w:val="000000"/>
        </w:rPr>
        <w:t xml:space="preserve">Ct. N.Y. </w:t>
      </w:r>
      <w:proofErr w:type="spellStart"/>
      <w:r>
        <w:rPr>
          <w:color w:val="000000"/>
        </w:rPr>
        <w:t>Cnty</w:t>
      </w:r>
      <w:proofErr w:type="spellEnd"/>
      <w:r>
        <w:rPr>
          <w:color w:val="000000"/>
        </w:rPr>
        <w:t>.</w:t>
      </w:r>
      <w:proofErr w:type="gramEnd"/>
      <w:r>
        <w:rPr>
          <w:color w:val="000000"/>
        </w:rPr>
        <w:t xml:space="preserve"> 1987).</w:t>
      </w:r>
    </w:p>
    <w:p w:rsidR="00513D24" w:rsidRPr="00502A3C" w:rsidRDefault="00513D24" w:rsidP="00513D24">
      <w:pPr>
        <w:pStyle w:val="A-Single-SpacedBodyText"/>
        <w:ind w:firstLine="0"/>
        <w:jc w:val="center"/>
      </w:pPr>
      <w:r>
        <w:t>*</w:t>
      </w:r>
      <w:r>
        <w:tab/>
        <w:t>*</w:t>
      </w:r>
      <w:r>
        <w:tab/>
        <w:t>*</w:t>
      </w:r>
    </w:p>
    <w:p w:rsidR="0012481F" w:rsidRPr="00A35A31" w:rsidRDefault="00332CFA" w:rsidP="00A35A31">
      <w:pPr>
        <w:ind w:firstLine="1440"/>
      </w:pPr>
      <w:r>
        <w:t xml:space="preserve">Please </w:t>
      </w:r>
      <w:r w:rsidR="00C72A3C">
        <w:t xml:space="preserve">contact us </w:t>
      </w:r>
      <w:r>
        <w:t>i</w:t>
      </w:r>
      <w:r w:rsidR="00A35A31">
        <w:t xml:space="preserve">f </w:t>
      </w:r>
      <w:r w:rsidR="000235E3">
        <w:t xml:space="preserve">Monsanto is </w:t>
      </w:r>
      <w:r w:rsidR="00A35A31">
        <w:t xml:space="preserve">interested in dramatically narrowing the scope of </w:t>
      </w:r>
      <w:r w:rsidR="000235E3">
        <w:t xml:space="preserve">the </w:t>
      </w:r>
      <w:r w:rsidR="00A35A31">
        <w:t xml:space="preserve">subpoena to focus on documents relevant to the </w:t>
      </w:r>
      <w:r w:rsidR="00A35A31">
        <w:rPr>
          <w:i/>
        </w:rPr>
        <w:t>Peterson</w:t>
      </w:r>
      <w:r w:rsidR="00B62087">
        <w:rPr>
          <w:i/>
        </w:rPr>
        <w:t xml:space="preserve"> and Hall</w:t>
      </w:r>
      <w:r w:rsidR="00A35A31">
        <w:t xml:space="preserve"> case</w:t>
      </w:r>
      <w:r w:rsidR="009C5A71">
        <w:t xml:space="preserve"> and not shielded by the First Amendment</w:t>
      </w:r>
      <w:r w:rsidR="00A35A31">
        <w:t xml:space="preserve">.  Otherwise, please expect a motion to quash the </w:t>
      </w:r>
      <w:r w:rsidR="000235E3">
        <w:t xml:space="preserve">entire </w:t>
      </w:r>
      <w:r w:rsidR="00A35A31">
        <w:t>subpoena.</w:t>
      </w:r>
    </w:p>
    <w:p w:rsidR="00E44FA2" w:rsidRDefault="00E44FA2" w:rsidP="00E44FA2"/>
    <w:p w:rsidR="00E44FA2" w:rsidRDefault="0050067B" w:rsidP="000235AB">
      <w:pPr>
        <w:pStyle w:val="A-DateClosing"/>
      </w:pPr>
      <w:r>
        <w:t>Sincerely yours,</w:t>
      </w:r>
    </w:p>
    <w:p w:rsidR="00E44FA2" w:rsidRDefault="00E44FA2" w:rsidP="004C645B"/>
    <w:p w:rsidR="00E44FA2" w:rsidRDefault="0050067B" w:rsidP="004C645B">
      <w:r>
        <w:tab/>
      </w:r>
      <w:r>
        <w:tab/>
      </w:r>
      <w:r>
        <w:tab/>
      </w:r>
      <w:r>
        <w:tab/>
      </w:r>
      <w:r>
        <w:tab/>
      </w:r>
      <w:r>
        <w:tab/>
      </w:r>
      <w:r>
        <w:tab/>
      </w:r>
    </w:p>
    <w:p w:rsidR="0050067B" w:rsidRDefault="0050067B" w:rsidP="004C645B"/>
    <w:p w:rsidR="00E44FA2" w:rsidRDefault="0050067B" w:rsidP="000235AB">
      <w:pPr>
        <w:pStyle w:val="A-DateClosing"/>
      </w:pPr>
      <w:r>
        <w:t>Andrew G. Celli, Jr.</w:t>
      </w:r>
    </w:p>
    <w:p w:rsidR="00AC70F0" w:rsidRDefault="0050067B" w:rsidP="00B37ED8">
      <w:pPr>
        <w:pStyle w:val="A-DateClosing"/>
      </w:pPr>
      <w:r>
        <w:t>Douglas E. Lieb</w:t>
      </w:r>
    </w:p>
    <w:sectPr w:rsidR="00AC70F0" w:rsidSect="00617438">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7B" w:rsidRDefault="0050067B">
      <w:r>
        <w:separator/>
      </w:r>
    </w:p>
  </w:endnote>
  <w:endnote w:type="continuationSeparator" w:id="0">
    <w:p w:rsidR="0050067B" w:rsidRDefault="0050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7B" w:rsidRDefault="0050067B">
      <w:r>
        <w:separator/>
      </w:r>
    </w:p>
  </w:footnote>
  <w:footnote w:type="continuationSeparator" w:id="0">
    <w:p w:rsidR="0050067B" w:rsidRDefault="0050067B">
      <w:r>
        <w:continuationSeparator/>
      </w:r>
    </w:p>
  </w:footnote>
  <w:footnote w:id="1">
    <w:p w:rsidR="00542837" w:rsidRPr="00991C39" w:rsidRDefault="00542837" w:rsidP="00542837">
      <w:pPr>
        <w:rPr>
          <w:sz w:val="20"/>
          <w:szCs w:val="20"/>
        </w:rPr>
      </w:pPr>
      <w:r w:rsidRPr="00991C39">
        <w:rPr>
          <w:sz w:val="20"/>
          <w:vertAlign w:val="superscript"/>
        </w:rPr>
        <w:footnoteRef/>
      </w:r>
      <w:r w:rsidRPr="00991C39">
        <w:rPr>
          <w:color w:val="000000"/>
          <w:sz w:val="20"/>
          <w:szCs w:val="20"/>
        </w:rPr>
        <w:t xml:space="preserve"> </w:t>
      </w:r>
      <w:r w:rsidRPr="00991C39">
        <w:rPr>
          <w:i/>
          <w:color w:val="000000"/>
          <w:sz w:val="20"/>
          <w:szCs w:val="20"/>
        </w:rPr>
        <w:t>I.e.</w:t>
      </w:r>
      <w:r w:rsidRPr="00991C39">
        <w:rPr>
          <w:color w:val="000000"/>
          <w:sz w:val="20"/>
          <w:szCs w:val="20"/>
        </w:rPr>
        <w:t>, the July 2016 letter to the European Chemicals Agency; the April 2016 letter to the European Commission of Health and Food Safety; the October 2017 letter to members of the European Parliament; and the June 2015 meeting with members of the staff of the European Parliament.</w:t>
      </w:r>
    </w:p>
  </w:footnote>
  <w:footnote w:id="2">
    <w:p w:rsidR="00542837" w:rsidRPr="00991C39" w:rsidRDefault="00542837" w:rsidP="00542837">
      <w:pPr>
        <w:rPr>
          <w:sz w:val="20"/>
          <w:szCs w:val="20"/>
        </w:rPr>
      </w:pPr>
      <w:r w:rsidRPr="00991C39">
        <w:rPr>
          <w:sz w:val="20"/>
          <w:vertAlign w:val="superscript"/>
        </w:rPr>
        <w:footnoteRef/>
      </w:r>
      <w:r w:rsidRPr="00991C39">
        <w:rPr>
          <w:color w:val="000000"/>
          <w:sz w:val="20"/>
          <w:szCs w:val="20"/>
        </w:rPr>
        <w:t xml:space="preserve"> </w:t>
      </w:r>
      <w:r w:rsidRPr="00991C39">
        <w:rPr>
          <w:i/>
          <w:color w:val="000000"/>
          <w:sz w:val="20"/>
          <w:szCs w:val="20"/>
        </w:rPr>
        <w:t>See, e.g.</w:t>
      </w:r>
      <w:r w:rsidRPr="00991C39">
        <w:rPr>
          <w:color w:val="000000"/>
          <w:sz w:val="20"/>
          <w:szCs w:val="20"/>
        </w:rPr>
        <w:t>,</w:t>
      </w:r>
      <w:r w:rsidRPr="00991C39">
        <w:rPr>
          <w:i/>
          <w:color w:val="000000"/>
          <w:sz w:val="20"/>
          <w:szCs w:val="20"/>
        </w:rPr>
        <w:t xml:space="preserve"> </w:t>
      </w:r>
      <w:r w:rsidRPr="00991C39">
        <w:rPr>
          <w:color w:val="000000"/>
          <w:sz w:val="20"/>
          <w:szCs w:val="20"/>
        </w:rPr>
        <w:t xml:space="preserve">CBS News, </w:t>
      </w:r>
      <w:r w:rsidRPr="00991C39">
        <w:rPr>
          <w:i/>
          <w:color w:val="000000"/>
          <w:sz w:val="20"/>
          <w:szCs w:val="20"/>
        </w:rPr>
        <w:t>Agricultural Giant Battles Small Farmers</w:t>
      </w:r>
      <w:r w:rsidRPr="00991C39">
        <w:rPr>
          <w:color w:val="000000"/>
          <w:sz w:val="20"/>
          <w:szCs w:val="20"/>
        </w:rPr>
        <w:t xml:space="preserve">, Apr. 26, 2008, https://www.cbsnews.com/news/agricultural-giant-battles-small-farmers; Donald L. Barrett &amp; James B. Steele, </w:t>
      </w:r>
      <w:r w:rsidRPr="00991C39">
        <w:rPr>
          <w:i/>
          <w:color w:val="000000"/>
          <w:sz w:val="20"/>
          <w:szCs w:val="20"/>
        </w:rPr>
        <w:t>Monsanto’s Harvest of Fear</w:t>
      </w:r>
      <w:r w:rsidRPr="00991C39">
        <w:rPr>
          <w:color w:val="000000"/>
          <w:sz w:val="20"/>
          <w:szCs w:val="20"/>
        </w:rPr>
        <w:t>, Vanity Fair, May 2008, https://www.vanityfair.com/news/2008/05/monsanto200805.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75" w:rsidRDefault="00F03A75" w:rsidP="00F03A75">
    <w:pPr>
      <w:tabs>
        <w:tab w:val="center" w:pos="2880"/>
      </w:tabs>
    </w:pPr>
    <w:r>
      <w:rPr>
        <w:smallCaps/>
      </w:rPr>
      <w:t xml:space="preserve">Emery Celli Brinckerhoff &amp; Abady </w:t>
    </w:r>
    <w:proofErr w:type="spellStart"/>
    <w:r>
      <w:rPr>
        <w:rStyle w:val="Normal13ptChar"/>
        <w:sz w:val="24"/>
        <w:szCs w:val="24"/>
      </w:rPr>
      <w:t>llp</w:t>
    </w:r>
    <w:proofErr w:type="spellEnd"/>
  </w:p>
  <w:p w:rsidR="00F03A75" w:rsidRDefault="00F03A75" w:rsidP="00F03A75">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45705">
      <w:rPr>
        <w:rStyle w:val="PageNumber"/>
        <w:noProof/>
      </w:rPr>
      <w:t>2</w:t>
    </w:r>
    <w:r>
      <w:rPr>
        <w:rStyle w:val="PageNumber"/>
      </w:rPr>
      <w:fldChar w:fldCharType="end"/>
    </w:r>
  </w:p>
  <w:p w:rsidR="000B49FF" w:rsidRPr="000235AB" w:rsidRDefault="000B49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2BC145A"/>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8F2639A"/>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489ABE18"/>
    <w:lvl w:ilvl="0">
      <w:start w:val="1"/>
      <w:numFmt w:val="decimal"/>
      <w:pStyle w:val="ListNumber2"/>
      <w:lvlText w:val="%1."/>
      <w:lvlJc w:val="left"/>
      <w:pPr>
        <w:tabs>
          <w:tab w:val="num" w:pos="720"/>
        </w:tabs>
        <w:ind w:left="720" w:hanging="360"/>
      </w:pPr>
    </w:lvl>
  </w:abstractNum>
  <w:abstractNum w:abstractNumId="3">
    <w:nsid w:val="FFFFFF88"/>
    <w:multiLevelType w:val="singleLevel"/>
    <w:tmpl w:val="393E6266"/>
    <w:lvl w:ilvl="0">
      <w:start w:val="1"/>
      <w:numFmt w:val="decimal"/>
      <w:pStyle w:val="ListNumber"/>
      <w:lvlText w:val="%1."/>
      <w:lvlJc w:val="left"/>
      <w:pPr>
        <w:tabs>
          <w:tab w:val="num" w:pos="360"/>
        </w:tabs>
        <w:ind w:left="360" w:hanging="360"/>
      </w:pPr>
    </w:lvl>
  </w:abstractNum>
  <w:abstractNum w:abstractNumId="4">
    <w:nsid w:val="01DF73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33F3AA2"/>
    <w:multiLevelType w:val="multilevel"/>
    <w:tmpl w:val="286C2A2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DD8428E"/>
    <w:multiLevelType w:val="multilevel"/>
    <w:tmpl w:val="B11296D8"/>
    <w:lvl w:ilvl="0">
      <w:start w:val="1"/>
      <w:numFmt w:val="upperRoman"/>
      <w:lvlText w:val="%1."/>
      <w:lvlJc w:val="left"/>
      <w:pPr>
        <w:tabs>
          <w:tab w:val="num" w:pos="360"/>
        </w:tabs>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lvlText w:val="%2."/>
      <w:lvlJc w:val="left"/>
      <w:pPr>
        <w:tabs>
          <w:tab w:val="num" w:pos="720"/>
        </w:tabs>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4F750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A31DAF"/>
    <w:multiLevelType w:val="multilevel"/>
    <w:tmpl w:val="03228986"/>
    <w:lvl w:ilvl="0">
      <w:start w:val="1"/>
      <w:numFmt w:val="decimal"/>
      <w:pStyle w:val="A-EmeryNumberedList"/>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1.%2.%3.%4."/>
      <w:lvlJc w:val="left"/>
      <w:pPr>
        <w:tabs>
          <w:tab w:val="num" w:pos="5040"/>
        </w:tabs>
        <w:ind w:left="3168" w:hanging="648"/>
      </w:pPr>
      <w:rPr>
        <w:rFonts w:hint="default"/>
      </w:rPr>
    </w:lvl>
    <w:lvl w:ilvl="4">
      <w:start w:val="1"/>
      <w:numFmt w:val="decimal"/>
      <w:lvlText w:val="%1.%2.%3.%4.%5."/>
      <w:lvlJc w:val="left"/>
      <w:pPr>
        <w:tabs>
          <w:tab w:val="num" w:pos="5760"/>
        </w:tabs>
        <w:ind w:left="3672" w:hanging="792"/>
      </w:pPr>
      <w:rPr>
        <w:rFonts w:hint="default"/>
      </w:rPr>
    </w:lvl>
    <w:lvl w:ilvl="5">
      <w:start w:val="1"/>
      <w:numFmt w:val="decimal"/>
      <w:lvlText w:val="%1.%2.%3.%4.%5.%6."/>
      <w:lvlJc w:val="left"/>
      <w:pPr>
        <w:tabs>
          <w:tab w:val="num" w:pos="6840"/>
        </w:tabs>
        <w:ind w:left="4176" w:hanging="936"/>
      </w:pPr>
      <w:rPr>
        <w:rFonts w:hint="default"/>
      </w:rPr>
    </w:lvl>
    <w:lvl w:ilvl="6">
      <w:start w:val="1"/>
      <w:numFmt w:val="decimal"/>
      <w:lvlText w:val="%1.%2.%3.%4.%5.%6.%7."/>
      <w:lvlJc w:val="left"/>
      <w:pPr>
        <w:tabs>
          <w:tab w:val="num" w:pos="7920"/>
        </w:tabs>
        <w:ind w:left="4680" w:hanging="1080"/>
      </w:pPr>
      <w:rPr>
        <w:rFonts w:hint="default"/>
      </w:rPr>
    </w:lvl>
    <w:lvl w:ilvl="7">
      <w:start w:val="1"/>
      <w:numFmt w:val="decimal"/>
      <w:lvlText w:val="%1.%2.%3.%4.%5.%6.%7.%8."/>
      <w:lvlJc w:val="left"/>
      <w:pPr>
        <w:tabs>
          <w:tab w:val="num" w:pos="8640"/>
        </w:tabs>
        <w:ind w:left="5184" w:hanging="1224"/>
      </w:pPr>
      <w:rPr>
        <w:rFonts w:hint="default"/>
      </w:rPr>
    </w:lvl>
    <w:lvl w:ilvl="8">
      <w:start w:val="1"/>
      <w:numFmt w:val="decimal"/>
      <w:lvlText w:val="%1.%2.%3.%4.%5.%6.%7.%8.%9."/>
      <w:lvlJc w:val="left"/>
      <w:pPr>
        <w:tabs>
          <w:tab w:val="num" w:pos="9720"/>
        </w:tabs>
        <w:ind w:left="5760" w:hanging="1440"/>
      </w:pPr>
      <w:rPr>
        <w:rFonts w:hint="default"/>
      </w:rPr>
    </w:lvl>
  </w:abstractNum>
  <w:abstractNum w:abstractNumId="9">
    <w:nsid w:val="2649094D"/>
    <w:multiLevelType w:val="hybridMultilevel"/>
    <w:tmpl w:val="603C730C"/>
    <w:lvl w:ilvl="0" w:tplc="EB2ECB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3345775"/>
    <w:multiLevelType w:val="multilevel"/>
    <w:tmpl w:val="2446F53C"/>
    <w:lvl w:ilvl="0">
      <w:start w:val="1"/>
      <w:numFmt w:val="decimal"/>
      <w:pStyle w:val="A-EmeryNumberedParagraph"/>
      <w:lvlText w:val="%1."/>
      <w:lvlJc w:val="left"/>
      <w:pPr>
        <w:tabs>
          <w:tab w:val="num" w:pos="1440"/>
        </w:tabs>
        <w:ind w:left="-720" w:firstLine="144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none"/>
      <w:lvlText w:val="a."/>
      <w:lvlJc w:val="left"/>
      <w:pPr>
        <w:tabs>
          <w:tab w:val="num" w:pos="2160"/>
        </w:tabs>
        <w:ind w:left="2160" w:hanging="360"/>
      </w:pPr>
      <w:rPr>
        <w:rFonts w:hint="default"/>
      </w:rPr>
    </w:lvl>
    <w:lvl w:ilvl="4">
      <w:start w:val="1"/>
      <w:numFmt w:val="none"/>
      <w:lvlText w:val="i."/>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6FC77E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472977"/>
    <w:multiLevelType w:val="multilevel"/>
    <w:tmpl w:val="48A66206"/>
    <w:lvl w:ilvl="0">
      <w:start w:val="1"/>
      <w:numFmt w:val="upperRoman"/>
      <w:pStyle w:val="A-EMERYHEADINGSAll-in-O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caps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1.%2.%3.%4.%5.%6."/>
      <w:lvlJc w:val="left"/>
      <w:pPr>
        <w:tabs>
          <w:tab w:val="num" w:pos="6840"/>
        </w:tabs>
        <w:ind w:left="4176" w:hanging="936"/>
      </w:pPr>
      <w:rPr>
        <w:rFonts w:hint="default"/>
      </w:rPr>
    </w:lvl>
    <w:lvl w:ilvl="6">
      <w:start w:val="1"/>
      <w:numFmt w:val="decimal"/>
      <w:lvlText w:val="%1.%2.%3.%4.%5.%6.%7."/>
      <w:lvlJc w:val="left"/>
      <w:pPr>
        <w:tabs>
          <w:tab w:val="num" w:pos="7920"/>
        </w:tabs>
        <w:ind w:left="4680" w:hanging="1080"/>
      </w:pPr>
      <w:rPr>
        <w:rFonts w:hint="default"/>
      </w:rPr>
    </w:lvl>
    <w:lvl w:ilvl="7">
      <w:start w:val="1"/>
      <w:numFmt w:val="decimal"/>
      <w:lvlText w:val="%1.%2.%3.%4.%5.%6.%7.%8."/>
      <w:lvlJc w:val="left"/>
      <w:pPr>
        <w:tabs>
          <w:tab w:val="num" w:pos="8640"/>
        </w:tabs>
        <w:ind w:left="5184" w:hanging="1224"/>
      </w:pPr>
      <w:rPr>
        <w:rFonts w:hint="default"/>
      </w:rPr>
    </w:lvl>
    <w:lvl w:ilvl="8">
      <w:start w:val="1"/>
      <w:numFmt w:val="decimal"/>
      <w:lvlText w:val="%1.%2.%3.%4.%5.%6.%7.%8.%9."/>
      <w:lvlJc w:val="left"/>
      <w:pPr>
        <w:tabs>
          <w:tab w:val="num" w:pos="9720"/>
        </w:tabs>
        <w:ind w:left="5760" w:hanging="144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6"/>
  </w:num>
  <w:num w:numId="6">
    <w:abstractNumId w:val="2"/>
  </w:num>
  <w:num w:numId="7">
    <w:abstractNumId w:val="6"/>
  </w:num>
  <w:num w:numId="8">
    <w:abstractNumId w:val="1"/>
  </w:num>
  <w:num w:numId="9">
    <w:abstractNumId w:val="6"/>
  </w:num>
  <w:num w:numId="10">
    <w:abstractNumId w:val="0"/>
  </w:num>
  <w:num w:numId="11">
    <w:abstractNumId w:val="6"/>
  </w:num>
  <w:num w:numId="12">
    <w:abstractNumId w:val="6"/>
  </w:num>
  <w:num w:numId="13">
    <w:abstractNumId w:val="8"/>
  </w:num>
  <w:num w:numId="14">
    <w:abstractNumId w:val="10"/>
  </w:num>
  <w:num w:numId="15">
    <w:abstractNumId w:val="8"/>
  </w:num>
  <w:num w:numId="16">
    <w:abstractNumId w:val="10"/>
  </w:num>
  <w:num w:numId="17">
    <w:abstractNumId w:val="12"/>
  </w:num>
  <w:num w:numId="18">
    <w:abstractNumId w:val="7"/>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0067B"/>
    <w:rsid w:val="00010A1B"/>
    <w:rsid w:val="000235AB"/>
    <w:rsid w:val="000235E3"/>
    <w:rsid w:val="00033706"/>
    <w:rsid w:val="000402B8"/>
    <w:rsid w:val="00040F2E"/>
    <w:rsid w:val="000440D0"/>
    <w:rsid w:val="00067F85"/>
    <w:rsid w:val="000814E3"/>
    <w:rsid w:val="0008201A"/>
    <w:rsid w:val="00090A8E"/>
    <w:rsid w:val="00094533"/>
    <w:rsid w:val="000A61F6"/>
    <w:rsid w:val="000B49FF"/>
    <w:rsid w:val="000D3305"/>
    <w:rsid w:val="000D3AF8"/>
    <w:rsid w:val="000D768E"/>
    <w:rsid w:val="000F0498"/>
    <w:rsid w:val="000F5BDB"/>
    <w:rsid w:val="000F6078"/>
    <w:rsid w:val="0012481F"/>
    <w:rsid w:val="00131AEE"/>
    <w:rsid w:val="00143366"/>
    <w:rsid w:val="00153759"/>
    <w:rsid w:val="00157A42"/>
    <w:rsid w:val="0017483E"/>
    <w:rsid w:val="00176AB9"/>
    <w:rsid w:val="00186D14"/>
    <w:rsid w:val="001A419A"/>
    <w:rsid w:val="001B2451"/>
    <w:rsid w:val="001B6C2E"/>
    <w:rsid w:val="001D0BA4"/>
    <w:rsid w:val="001E4BE3"/>
    <w:rsid w:val="002375B8"/>
    <w:rsid w:val="00237813"/>
    <w:rsid w:val="00252454"/>
    <w:rsid w:val="00255C57"/>
    <w:rsid w:val="00272DF2"/>
    <w:rsid w:val="00276315"/>
    <w:rsid w:val="00277DE1"/>
    <w:rsid w:val="002A04AC"/>
    <w:rsid w:val="002B2D68"/>
    <w:rsid w:val="002E0DC6"/>
    <w:rsid w:val="002E7509"/>
    <w:rsid w:val="002F0A7F"/>
    <w:rsid w:val="00300921"/>
    <w:rsid w:val="00302F15"/>
    <w:rsid w:val="00306B2E"/>
    <w:rsid w:val="00332CFA"/>
    <w:rsid w:val="00333100"/>
    <w:rsid w:val="00355FA8"/>
    <w:rsid w:val="00380805"/>
    <w:rsid w:val="003814F8"/>
    <w:rsid w:val="00384F06"/>
    <w:rsid w:val="003C4F6C"/>
    <w:rsid w:val="003F03CF"/>
    <w:rsid w:val="003F0C25"/>
    <w:rsid w:val="0040144C"/>
    <w:rsid w:val="0042137F"/>
    <w:rsid w:val="004461FD"/>
    <w:rsid w:val="004564F3"/>
    <w:rsid w:val="00476635"/>
    <w:rsid w:val="0047702A"/>
    <w:rsid w:val="0048078C"/>
    <w:rsid w:val="00482FB8"/>
    <w:rsid w:val="00493397"/>
    <w:rsid w:val="004A1B89"/>
    <w:rsid w:val="004B2CB2"/>
    <w:rsid w:val="004C1535"/>
    <w:rsid w:val="004C645B"/>
    <w:rsid w:val="004D2C8F"/>
    <w:rsid w:val="004E69AC"/>
    <w:rsid w:val="0050067B"/>
    <w:rsid w:val="00502A3C"/>
    <w:rsid w:val="005118DC"/>
    <w:rsid w:val="00513D24"/>
    <w:rsid w:val="00514C80"/>
    <w:rsid w:val="0051736F"/>
    <w:rsid w:val="00532B0A"/>
    <w:rsid w:val="0053743D"/>
    <w:rsid w:val="00542837"/>
    <w:rsid w:val="00576856"/>
    <w:rsid w:val="00586DAC"/>
    <w:rsid w:val="005970D7"/>
    <w:rsid w:val="005A055B"/>
    <w:rsid w:val="005A105E"/>
    <w:rsid w:val="005A1C99"/>
    <w:rsid w:val="005A1F9F"/>
    <w:rsid w:val="005B0250"/>
    <w:rsid w:val="005B1306"/>
    <w:rsid w:val="005C5AC5"/>
    <w:rsid w:val="005D4653"/>
    <w:rsid w:val="005D5652"/>
    <w:rsid w:val="005E4A95"/>
    <w:rsid w:val="005E6A4F"/>
    <w:rsid w:val="005F1167"/>
    <w:rsid w:val="00614968"/>
    <w:rsid w:val="00617438"/>
    <w:rsid w:val="00637194"/>
    <w:rsid w:val="00640167"/>
    <w:rsid w:val="00645705"/>
    <w:rsid w:val="00645D85"/>
    <w:rsid w:val="0065699C"/>
    <w:rsid w:val="006612AB"/>
    <w:rsid w:val="00693853"/>
    <w:rsid w:val="006B3203"/>
    <w:rsid w:val="006C13AA"/>
    <w:rsid w:val="006D0122"/>
    <w:rsid w:val="006D75FB"/>
    <w:rsid w:val="006E20A9"/>
    <w:rsid w:val="006F1199"/>
    <w:rsid w:val="0070702E"/>
    <w:rsid w:val="00710C66"/>
    <w:rsid w:val="00731909"/>
    <w:rsid w:val="00732938"/>
    <w:rsid w:val="0073534C"/>
    <w:rsid w:val="00742BC0"/>
    <w:rsid w:val="00744607"/>
    <w:rsid w:val="00751822"/>
    <w:rsid w:val="007523BF"/>
    <w:rsid w:val="007551C8"/>
    <w:rsid w:val="00764BBA"/>
    <w:rsid w:val="0076797D"/>
    <w:rsid w:val="00767D54"/>
    <w:rsid w:val="007846DF"/>
    <w:rsid w:val="00785900"/>
    <w:rsid w:val="007E1569"/>
    <w:rsid w:val="007F5B03"/>
    <w:rsid w:val="00804686"/>
    <w:rsid w:val="00824095"/>
    <w:rsid w:val="008452CB"/>
    <w:rsid w:val="00861F3D"/>
    <w:rsid w:val="00866790"/>
    <w:rsid w:val="008875DC"/>
    <w:rsid w:val="008B6602"/>
    <w:rsid w:val="008C3BC1"/>
    <w:rsid w:val="008E39FA"/>
    <w:rsid w:val="008F151C"/>
    <w:rsid w:val="00916733"/>
    <w:rsid w:val="009254C4"/>
    <w:rsid w:val="009505A1"/>
    <w:rsid w:val="00950C8B"/>
    <w:rsid w:val="00951FB5"/>
    <w:rsid w:val="00960833"/>
    <w:rsid w:val="00986E7A"/>
    <w:rsid w:val="00991C39"/>
    <w:rsid w:val="009943DF"/>
    <w:rsid w:val="009B3DB7"/>
    <w:rsid w:val="009C5A71"/>
    <w:rsid w:val="009E1F56"/>
    <w:rsid w:val="009F5C7D"/>
    <w:rsid w:val="00A0031D"/>
    <w:rsid w:val="00A20907"/>
    <w:rsid w:val="00A35A31"/>
    <w:rsid w:val="00A44C1D"/>
    <w:rsid w:val="00A655FC"/>
    <w:rsid w:val="00A7315A"/>
    <w:rsid w:val="00A76572"/>
    <w:rsid w:val="00A85567"/>
    <w:rsid w:val="00A8707F"/>
    <w:rsid w:val="00AC70F0"/>
    <w:rsid w:val="00AC7F5B"/>
    <w:rsid w:val="00AE1A86"/>
    <w:rsid w:val="00AE764D"/>
    <w:rsid w:val="00B10552"/>
    <w:rsid w:val="00B272AE"/>
    <w:rsid w:val="00B37ED8"/>
    <w:rsid w:val="00B53F81"/>
    <w:rsid w:val="00B615E1"/>
    <w:rsid w:val="00B62087"/>
    <w:rsid w:val="00B64165"/>
    <w:rsid w:val="00B804C7"/>
    <w:rsid w:val="00B8219A"/>
    <w:rsid w:val="00BA5DC3"/>
    <w:rsid w:val="00BA7C07"/>
    <w:rsid w:val="00BB11AA"/>
    <w:rsid w:val="00BF3F4E"/>
    <w:rsid w:val="00C05116"/>
    <w:rsid w:val="00C438F2"/>
    <w:rsid w:val="00C54CD5"/>
    <w:rsid w:val="00C72A3C"/>
    <w:rsid w:val="00C80E1E"/>
    <w:rsid w:val="00C90E3B"/>
    <w:rsid w:val="00CB0220"/>
    <w:rsid w:val="00CB2189"/>
    <w:rsid w:val="00CB4982"/>
    <w:rsid w:val="00CC120E"/>
    <w:rsid w:val="00CE4E71"/>
    <w:rsid w:val="00D247CA"/>
    <w:rsid w:val="00D2651E"/>
    <w:rsid w:val="00D33E3D"/>
    <w:rsid w:val="00D40003"/>
    <w:rsid w:val="00D420E7"/>
    <w:rsid w:val="00D546A5"/>
    <w:rsid w:val="00D864BB"/>
    <w:rsid w:val="00D921EA"/>
    <w:rsid w:val="00DA2687"/>
    <w:rsid w:val="00DC0784"/>
    <w:rsid w:val="00DE1B74"/>
    <w:rsid w:val="00DE6D69"/>
    <w:rsid w:val="00E020A7"/>
    <w:rsid w:val="00E03401"/>
    <w:rsid w:val="00E14A15"/>
    <w:rsid w:val="00E44FA2"/>
    <w:rsid w:val="00E53595"/>
    <w:rsid w:val="00E67DCE"/>
    <w:rsid w:val="00EB0BEB"/>
    <w:rsid w:val="00EC5895"/>
    <w:rsid w:val="00ED3866"/>
    <w:rsid w:val="00ED7156"/>
    <w:rsid w:val="00EE0AB9"/>
    <w:rsid w:val="00EE7682"/>
    <w:rsid w:val="00F03A75"/>
    <w:rsid w:val="00F178DE"/>
    <w:rsid w:val="00F23B88"/>
    <w:rsid w:val="00F609A0"/>
    <w:rsid w:val="00F81895"/>
    <w:rsid w:val="00F8380D"/>
    <w:rsid w:val="00F86932"/>
    <w:rsid w:val="00FD58D8"/>
    <w:rsid w:val="00FE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A2"/>
    <w:pPr>
      <w:widowControl w:val="0"/>
      <w:adjustRightInd w:val="0"/>
    </w:pPr>
    <w:rPr>
      <w:sz w:val="24"/>
      <w:szCs w:val="24"/>
    </w:rPr>
  </w:style>
  <w:style w:type="paragraph" w:styleId="Heading1">
    <w:name w:val="heading 1"/>
    <w:basedOn w:val="Normal"/>
    <w:next w:val="Normal"/>
    <w:qFormat/>
    <w:rsid w:val="009B3D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B3D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3D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3ptChar">
    <w:name w:val="Normal + 13 pt Char"/>
    <w:aliases w:val="Small caps Char"/>
    <w:basedOn w:val="DefaultParagraphFont"/>
    <w:semiHidden/>
    <w:rsid w:val="00E44FA2"/>
    <w:rPr>
      <w:rFonts w:cs="Times New Roman"/>
      <w:smallCaps/>
      <w:sz w:val="28"/>
      <w:szCs w:val="28"/>
      <w:lang w:val="en-US" w:eastAsia="en-US" w:bidi="ar-SA"/>
    </w:rPr>
  </w:style>
  <w:style w:type="paragraph" w:styleId="Header">
    <w:name w:val="header"/>
    <w:basedOn w:val="Normal"/>
    <w:link w:val="HeaderChar"/>
    <w:uiPriority w:val="99"/>
    <w:rsid w:val="000235AB"/>
    <w:pPr>
      <w:tabs>
        <w:tab w:val="center" w:pos="4320"/>
        <w:tab w:val="right" w:pos="8640"/>
      </w:tabs>
    </w:pPr>
  </w:style>
  <w:style w:type="paragraph" w:styleId="Footer">
    <w:name w:val="footer"/>
    <w:basedOn w:val="Normal"/>
    <w:semiHidden/>
    <w:rsid w:val="000235AB"/>
    <w:pPr>
      <w:tabs>
        <w:tab w:val="center" w:pos="4320"/>
        <w:tab w:val="right" w:pos="8640"/>
      </w:tabs>
    </w:pPr>
  </w:style>
  <w:style w:type="paragraph" w:customStyle="1" w:styleId="A-BlockQuote">
    <w:name w:val="A - Block Quote"/>
    <w:basedOn w:val="Normal"/>
    <w:rsid w:val="00764BBA"/>
    <w:pPr>
      <w:widowControl/>
      <w:adjustRightInd/>
      <w:spacing w:after="240"/>
      <w:ind w:left="1440" w:right="1440"/>
    </w:pPr>
  </w:style>
  <w:style w:type="paragraph" w:customStyle="1" w:styleId="A-Double-SpacedBodyText">
    <w:name w:val="A - Double-Spaced Body Text"/>
    <w:basedOn w:val="Normal"/>
    <w:rsid w:val="00764BBA"/>
    <w:pPr>
      <w:widowControl/>
      <w:adjustRightInd/>
      <w:spacing w:line="480" w:lineRule="auto"/>
      <w:ind w:firstLine="1440"/>
    </w:pPr>
  </w:style>
  <w:style w:type="paragraph" w:styleId="ListNumber">
    <w:name w:val="List Number"/>
    <w:basedOn w:val="Normal"/>
    <w:semiHidden/>
    <w:rsid w:val="00764BBA"/>
    <w:pPr>
      <w:numPr>
        <w:numId w:val="4"/>
      </w:numPr>
    </w:pPr>
  </w:style>
  <w:style w:type="paragraph" w:styleId="ListNumber2">
    <w:name w:val="List Number 2"/>
    <w:basedOn w:val="Normal"/>
    <w:semiHidden/>
    <w:rsid w:val="00764BBA"/>
    <w:pPr>
      <w:numPr>
        <w:numId w:val="6"/>
      </w:numPr>
    </w:pPr>
  </w:style>
  <w:style w:type="paragraph" w:styleId="FootnoteText">
    <w:name w:val="footnote text"/>
    <w:basedOn w:val="Normal"/>
    <w:semiHidden/>
    <w:rsid w:val="00176AB9"/>
    <w:rPr>
      <w:sz w:val="20"/>
      <w:szCs w:val="20"/>
    </w:rPr>
  </w:style>
  <w:style w:type="character" w:styleId="FootnoteReference">
    <w:name w:val="footnote reference"/>
    <w:basedOn w:val="DefaultParagraphFont"/>
    <w:semiHidden/>
    <w:rsid w:val="00176AB9"/>
    <w:rPr>
      <w:vertAlign w:val="superscript"/>
    </w:rPr>
  </w:style>
  <w:style w:type="character" w:styleId="PageNumber">
    <w:name w:val="page number"/>
    <w:basedOn w:val="DefaultParagraphFont"/>
    <w:semiHidden/>
    <w:rsid w:val="00D921EA"/>
  </w:style>
  <w:style w:type="paragraph" w:styleId="ListNumber3">
    <w:name w:val="List Number 3"/>
    <w:basedOn w:val="Normal"/>
    <w:semiHidden/>
    <w:rsid w:val="00764BBA"/>
    <w:pPr>
      <w:numPr>
        <w:numId w:val="8"/>
      </w:numPr>
    </w:pPr>
  </w:style>
  <w:style w:type="paragraph" w:styleId="ListNumber4">
    <w:name w:val="List Number 4"/>
    <w:basedOn w:val="Normal"/>
    <w:semiHidden/>
    <w:rsid w:val="00764BBA"/>
    <w:pPr>
      <w:numPr>
        <w:numId w:val="10"/>
      </w:numPr>
    </w:pPr>
  </w:style>
  <w:style w:type="paragraph" w:customStyle="1" w:styleId="A-EmeryNumberedList">
    <w:name w:val="A - Emery Numbered List"/>
    <w:basedOn w:val="Normal"/>
    <w:rsid w:val="00764BBA"/>
    <w:pPr>
      <w:widowControl/>
      <w:numPr>
        <w:numId w:val="15"/>
      </w:numPr>
      <w:tabs>
        <w:tab w:val="clear" w:pos="1440"/>
        <w:tab w:val="num" w:pos="720"/>
      </w:tabs>
      <w:adjustRightInd/>
      <w:spacing w:after="240"/>
      <w:ind w:left="720"/>
    </w:pPr>
  </w:style>
  <w:style w:type="paragraph" w:customStyle="1" w:styleId="A-EmeryNumberedParagraph">
    <w:name w:val="A - Emery Numbered Paragraph"/>
    <w:basedOn w:val="Normal"/>
    <w:rsid w:val="007E1569"/>
    <w:pPr>
      <w:widowControl/>
      <w:numPr>
        <w:numId w:val="16"/>
      </w:numPr>
      <w:adjustRightInd/>
      <w:spacing w:line="480" w:lineRule="auto"/>
      <w:ind w:left="0" w:firstLine="720"/>
    </w:pPr>
  </w:style>
  <w:style w:type="paragraph" w:customStyle="1" w:styleId="A-EmeryTitle">
    <w:name w:val="A - Emery Title"/>
    <w:rsid w:val="00764BBA"/>
    <w:pPr>
      <w:spacing w:after="240"/>
      <w:jc w:val="center"/>
    </w:pPr>
    <w:rPr>
      <w:rFonts w:ascii="Times New Roman Bold" w:hAnsi="Times New Roman Bold" w:cs="Arial"/>
      <w:bCs/>
      <w:caps/>
      <w:kern w:val="32"/>
      <w:sz w:val="24"/>
      <w:szCs w:val="32"/>
    </w:rPr>
  </w:style>
  <w:style w:type="paragraph" w:customStyle="1" w:styleId="A-Footnotew6ptafter">
    <w:name w:val="A - Footnote w/ 6 pt. after"/>
    <w:basedOn w:val="FootnoteText"/>
    <w:rsid w:val="00764BBA"/>
    <w:pPr>
      <w:widowControl/>
      <w:adjustRightInd/>
      <w:spacing w:after="120"/>
    </w:pPr>
  </w:style>
  <w:style w:type="paragraph" w:customStyle="1" w:styleId="A-DateClosing">
    <w:name w:val="A- Date/Closing"/>
    <w:basedOn w:val="Normal"/>
    <w:rsid w:val="00764BBA"/>
    <w:pPr>
      <w:widowControl/>
      <w:adjustRightInd/>
      <w:ind w:left="5040"/>
    </w:pPr>
  </w:style>
  <w:style w:type="paragraph" w:customStyle="1" w:styleId="A-Single-SpacedBodyText">
    <w:name w:val="A- Single-Spaced Body Text"/>
    <w:basedOn w:val="A-Double-SpacedBodyText"/>
    <w:rsid w:val="00764BBA"/>
    <w:pPr>
      <w:spacing w:after="240" w:line="240" w:lineRule="auto"/>
    </w:pPr>
  </w:style>
  <w:style w:type="paragraph" w:customStyle="1" w:styleId="A-EMERYHEADINGSAll-in-One">
    <w:name w:val="A -  EMERY HEADINGS All-in-One"/>
    <w:rsid w:val="00744607"/>
    <w:pPr>
      <w:numPr>
        <w:numId w:val="17"/>
      </w:numPr>
      <w:spacing w:after="240"/>
    </w:pPr>
    <w:rPr>
      <w:rFonts w:ascii="Times New Roman Bold" w:hAnsi="Times New Roman Bold"/>
      <w:b/>
      <w:sz w:val="24"/>
      <w:szCs w:val="24"/>
    </w:rPr>
  </w:style>
  <w:style w:type="paragraph" w:customStyle="1" w:styleId="A-AdditionalCopiedParties">
    <w:name w:val="A- Additional Copied Parties"/>
    <w:basedOn w:val="Normal"/>
    <w:rsid w:val="004E69AC"/>
    <w:pPr>
      <w:tabs>
        <w:tab w:val="left" w:pos="720"/>
      </w:tabs>
      <w:ind w:left="720"/>
    </w:pPr>
  </w:style>
  <w:style w:type="paragraph" w:customStyle="1" w:styleId="A-FirstCopiedParty">
    <w:name w:val="A- First Copied Party"/>
    <w:basedOn w:val="Normal"/>
    <w:next w:val="A-AdditionalCopiedParties"/>
    <w:rsid w:val="004E69AC"/>
    <w:pPr>
      <w:tabs>
        <w:tab w:val="left" w:pos="720"/>
      </w:tabs>
    </w:pPr>
  </w:style>
  <w:style w:type="character" w:customStyle="1" w:styleId="HeaderChar">
    <w:name w:val="Header Char"/>
    <w:link w:val="Header"/>
    <w:uiPriority w:val="99"/>
    <w:rsid w:val="00F03A75"/>
    <w:rPr>
      <w:sz w:val="24"/>
      <w:szCs w:val="24"/>
    </w:rPr>
  </w:style>
  <w:style w:type="paragraph" w:styleId="BalloonText">
    <w:name w:val="Balloon Text"/>
    <w:basedOn w:val="Normal"/>
    <w:link w:val="BalloonTextChar"/>
    <w:rsid w:val="00F03A75"/>
    <w:rPr>
      <w:rFonts w:ascii="Tahoma" w:hAnsi="Tahoma" w:cs="Tahoma"/>
      <w:sz w:val="16"/>
      <w:szCs w:val="16"/>
    </w:rPr>
  </w:style>
  <w:style w:type="character" w:customStyle="1" w:styleId="BalloonTextChar">
    <w:name w:val="Balloon Text Char"/>
    <w:basedOn w:val="DefaultParagraphFont"/>
    <w:link w:val="BalloonText"/>
    <w:rsid w:val="00F03A75"/>
    <w:rPr>
      <w:rFonts w:ascii="Tahoma" w:hAnsi="Tahoma" w:cs="Tahoma"/>
      <w:sz w:val="16"/>
      <w:szCs w:val="16"/>
    </w:rPr>
  </w:style>
  <w:style w:type="character" w:customStyle="1" w:styleId="costarpage">
    <w:name w:val="co_starpage"/>
    <w:basedOn w:val="DefaultParagraphFont"/>
    <w:rsid w:val="00CB2189"/>
  </w:style>
  <w:style w:type="character" w:styleId="Hyperlink">
    <w:name w:val="Hyperlink"/>
    <w:basedOn w:val="DefaultParagraphFont"/>
    <w:rsid w:val="00EB0B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FA2"/>
    <w:pPr>
      <w:widowControl w:val="0"/>
      <w:adjustRightInd w:val="0"/>
    </w:pPr>
    <w:rPr>
      <w:sz w:val="24"/>
      <w:szCs w:val="24"/>
    </w:rPr>
  </w:style>
  <w:style w:type="paragraph" w:styleId="Heading1">
    <w:name w:val="heading 1"/>
    <w:basedOn w:val="Normal"/>
    <w:next w:val="Normal"/>
    <w:qFormat/>
    <w:rsid w:val="009B3D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B3D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3D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3ptChar">
    <w:name w:val="Normal + 13 pt Char"/>
    <w:aliases w:val="Small caps Char"/>
    <w:basedOn w:val="DefaultParagraphFont"/>
    <w:semiHidden/>
    <w:rsid w:val="00E44FA2"/>
    <w:rPr>
      <w:rFonts w:cs="Times New Roman"/>
      <w:smallCaps/>
      <w:sz w:val="28"/>
      <w:szCs w:val="28"/>
      <w:lang w:val="en-US" w:eastAsia="en-US" w:bidi="ar-SA"/>
    </w:rPr>
  </w:style>
  <w:style w:type="paragraph" w:styleId="Header">
    <w:name w:val="header"/>
    <w:basedOn w:val="Normal"/>
    <w:link w:val="HeaderChar"/>
    <w:uiPriority w:val="99"/>
    <w:rsid w:val="000235AB"/>
    <w:pPr>
      <w:tabs>
        <w:tab w:val="center" w:pos="4320"/>
        <w:tab w:val="right" w:pos="8640"/>
      </w:tabs>
    </w:pPr>
  </w:style>
  <w:style w:type="paragraph" w:styleId="Footer">
    <w:name w:val="footer"/>
    <w:basedOn w:val="Normal"/>
    <w:semiHidden/>
    <w:rsid w:val="000235AB"/>
    <w:pPr>
      <w:tabs>
        <w:tab w:val="center" w:pos="4320"/>
        <w:tab w:val="right" w:pos="8640"/>
      </w:tabs>
    </w:pPr>
  </w:style>
  <w:style w:type="paragraph" w:customStyle="1" w:styleId="A-BlockQuote">
    <w:name w:val="A - Block Quote"/>
    <w:basedOn w:val="Normal"/>
    <w:rsid w:val="00764BBA"/>
    <w:pPr>
      <w:widowControl/>
      <w:adjustRightInd/>
      <w:spacing w:after="240"/>
      <w:ind w:left="1440" w:right="1440"/>
    </w:pPr>
  </w:style>
  <w:style w:type="paragraph" w:customStyle="1" w:styleId="A-Double-SpacedBodyText">
    <w:name w:val="A - Double-Spaced Body Text"/>
    <w:basedOn w:val="Normal"/>
    <w:rsid w:val="00764BBA"/>
    <w:pPr>
      <w:widowControl/>
      <w:adjustRightInd/>
      <w:spacing w:line="480" w:lineRule="auto"/>
      <w:ind w:firstLine="1440"/>
    </w:pPr>
  </w:style>
  <w:style w:type="paragraph" w:styleId="ListNumber">
    <w:name w:val="List Number"/>
    <w:basedOn w:val="Normal"/>
    <w:semiHidden/>
    <w:rsid w:val="00764BBA"/>
    <w:pPr>
      <w:numPr>
        <w:numId w:val="4"/>
      </w:numPr>
    </w:pPr>
  </w:style>
  <w:style w:type="paragraph" w:styleId="ListNumber2">
    <w:name w:val="List Number 2"/>
    <w:basedOn w:val="Normal"/>
    <w:semiHidden/>
    <w:rsid w:val="00764BBA"/>
    <w:pPr>
      <w:numPr>
        <w:numId w:val="6"/>
      </w:numPr>
    </w:pPr>
  </w:style>
  <w:style w:type="paragraph" w:styleId="FootnoteText">
    <w:name w:val="footnote text"/>
    <w:basedOn w:val="Normal"/>
    <w:semiHidden/>
    <w:rsid w:val="00176AB9"/>
    <w:rPr>
      <w:sz w:val="20"/>
      <w:szCs w:val="20"/>
    </w:rPr>
  </w:style>
  <w:style w:type="character" w:styleId="FootnoteReference">
    <w:name w:val="footnote reference"/>
    <w:basedOn w:val="DefaultParagraphFont"/>
    <w:semiHidden/>
    <w:rsid w:val="00176AB9"/>
    <w:rPr>
      <w:vertAlign w:val="superscript"/>
    </w:rPr>
  </w:style>
  <w:style w:type="character" w:styleId="PageNumber">
    <w:name w:val="page number"/>
    <w:basedOn w:val="DefaultParagraphFont"/>
    <w:semiHidden/>
    <w:rsid w:val="00D921EA"/>
  </w:style>
  <w:style w:type="paragraph" w:styleId="ListNumber3">
    <w:name w:val="List Number 3"/>
    <w:basedOn w:val="Normal"/>
    <w:semiHidden/>
    <w:rsid w:val="00764BBA"/>
    <w:pPr>
      <w:numPr>
        <w:numId w:val="8"/>
      </w:numPr>
    </w:pPr>
  </w:style>
  <w:style w:type="paragraph" w:styleId="ListNumber4">
    <w:name w:val="List Number 4"/>
    <w:basedOn w:val="Normal"/>
    <w:semiHidden/>
    <w:rsid w:val="00764BBA"/>
    <w:pPr>
      <w:numPr>
        <w:numId w:val="10"/>
      </w:numPr>
    </w:pPr>
  </w:style>
  <w:style w:type="paragraph" w:customStyle="1" w:styleId="A-EmeryNumberedList">
    <w:name w:val="A - Emery Numbered List"/>
    <w:basedOn w:val="Normal"/>
    <w:rsid w:val="00764BBA"/>
    <w:pPr>
      <w:widowControl/>
      <w:numPr>
        <w:numId w:val="15"/>
      </w:numPr>
      <w:tabs>
        <w:tab w:val="clear" w:pos="1440"/>
        <w:tab w:val="num" w:pos="720"/>
      </w:tabs>
      <w:adjustRightInd/>
      <w:spacing w:after="240"/>
      <w:ind w:left="720"/>
    </w:pPr>
  </w:style>
  <w:style w:type="paragraph" w:customStyle="1" w:styleId="A-EmeryNumberedParagraph">
    <w:name w:val="A - Emery Numbered Paragraph"/>
    <w:basedOn w:val="Normal"/>
    <w:rsid w:val="007E1569"/>
    <w:pPr>
      <w:widowControl/>
      <w:numPr>
        <w:numId w:val="16"/>
      </w:numPr>
      <w:adjustRightInd/>
      <w:spacing w:line="480" w:lineRule="auto"/>
      <w:ind w:left="0" w:firstLine="720"/>
    </w:pPr>
  </w:style>
  <w:style w:type="paragraph" w:customStyle="1" w:styleId="A-EmeryTitle">
    <w:name w:val="A - Emery Title"/>
    <w:rsid w:val="00764BBA"/>
    <w:pPr>
      <w:spacing w:after="240"/>
      <w:jc w:val="center"/>
    </w:pPr>
    <w:rPr>
      <w:rFonts w:ascii="Times New Roman Bold" w:hAnsi="Times New Roman Bold" w:cs="Arial"/>
      <w:bCs/>
      <w:caps/>
      <w:kern w:val="32"/>
      <w:sz w:val="24"/>
      <w:szCs w:val="32"/>
    </w:rPr>
  </w:style>
  <w:style w:type="paragraph" w:customStyle="1" w:styleId="A-Footnotew6ptafter">
    <w:name w:val="A - Footnote w/ 6 pt. after"/>
    <w:basedOn w:val="FootnoteText"/>
    <w:rsid w:val="00764BBA"/>
    <w:pPr>
      <w:widowControl/>
      <w:adjustRightInd/>
      <w:spacing w:after="120"/>
    </w:pPr>
  </w:style>
  <w:style w:type="paragraph" w:customStyle="1" w:styleId="A-DateClosing">
    <w:name w:val="A- Date/Closing"/>
    <w:basedOn w:val="Normal"/>
    <w:rsid w:val="00764BBA"/>
    <w:pPr>
      <w:widowControl/>
      <w:adjustRightInd/>
      <w:ind w:left="5040"/>
    </w:pPr>
  </w:style>
  <w:style w:type="paragraph" w:customStyle="1" w:styleId="A-Single-SpacedBodyText">
    <w:name w:val="A- Single-Spaced Body Text"/>
    <w:basedOn w:val="A-Double-SpacedBodyText"/>
    <w:rsid w:val="00764BBA"/>
    <w:pPr>
      <w:spacing w:after="240" w:line="240" w:lineRule="auto"/>
    </w:pPr>
  </w:style>
  <w:style w:type="paragraph" w:customStyle="1" w:styleId="A-EMERYHEADINGSAll-in-One">
    <w:name w:val="A -  EMERY HEADINGS All-in-One"/>
    <w:rsid w:val="00744607"/>
    <w:pPr>
      <w:numPr>
        <w:numId w:val="17"/>
      </w:numPr>
      <w:spacing w:after="240"/>
    </w:pPr>
    <w:rPr>
      <w:rFonts w:ascii="Times New Roman Bold" w:hAnsi="Times New Roman Bold"/>
      <w:b/>
      <w:sz w:val="24"/>
      <w:szCs w:val="24"/>
    </w:rPr>
  </w:style>
  <w:style w:type="paragraph" w:customStyle="1" w:styleId="A-AdditionalCopiedParties">
    <w:name w:val="A- Additional Copied Parties"/>
    <w:basedOn w:val="Normal"/>
    <w:rsid w:val="004E69AC"/>
    <w:pPr>
      <w:tabs>
        <w:tab w:val="left" w:pos="720"/>
      </w:tabs>
      <w:ind w:left="720"/>
    </w:pPr>
  </w:style>
  <w:style w:type="paragraph" w:customStyle="1" w:styleId="A-FirstCopiedParty">
    <w:name w:val="A- First Copied Party"/>
    <w:basedOn w:val="Normal"/>
    <w:next w:val="A-AdditionalCopiedParties"/>
    <w:rsid w:val="004E69AC"/>
    <w:pPr>
      <w:tabs>
        <w:tab w:val="left" w:pos="720"/>
      </w:tabs>
    </w:pPr>
  </w:style>
  <w:style w:type="character" w:customStyle="1" w:styleId="HeaderChar">
    <w:name w:val="Header Char"/>
    <w:link w:val="Header"/>
    <w:uiPriority w:val="99"/>
    <w:rsid w:val="00F03A75"/>
    <w:rPr>
      <w:sz w:val="24"/>
      <w:szCs w:val="24"/>
    </w:rPr>
  </w:style>
  <w:style w:type="paragraph" w:styleId="BalloonText">
    <w:name w:val="Balloon Text"/>
    <w:basedOn w:val="Normal"/>
    <w:link w:val="BalloonTextChar"/>
    <w:rsid w:val="00F03A75"/>
    <w:rPr>
      <w:rFonts w:ascii="Tahoma" w:hAnsi="Tahoma" w:cs="Tahoma"/>
      <w:sz w:val="16"/>
      <w:szCs w:val="16"/>
    </w:rPr>
  </w:style>
  <w:style w:type="character" w:customStyle="1" w:styleId="BalloonTextChar">
    <w:name w:val="Balloon Text Char"/>
    <w:basedOn w:val="DefaultParagraphFont"/>
    <w:link w:val="BalloonText"/>
    <w:rsid w:val="00F03A75"/>
    <w:rPr>
      <w:rFonts w:ascii="Tahoma" w:hAnsi="Tahoma" w:cs="Tahoma"/>
      <w:sz w:val="16"/>
      <w:szCs w:val="16"/>
    </w:rPr>
  </w:style>
  <w:style w:type="character" w:customStyle="1" w:styleId="costarpage">
    <w:name w:val="co_starpage"/>
    <w:basedOn w:val="DefaultParagraphFont"/>
    <w:rsid w:val="00CB2189"/>
  </w:style>
  <w:style w:type="character" w:styleId="Hyperlink">
    <w:name w:val="Hyperlink"/>
    <w:basedOn w:val="DefaultParagraphFont"/>
    <w:rsid w:val="00EB0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09454">
      <w:bodyDiv w:val="1"/>
      <w:marLeft w:val="0"/>
      <w:marRight w:val="0"/>
      <w:marTop w:val="0"/>
      <w:marBottom w:val="0"/>
      <w:divBdr>
        <w:top w:val="none" w:sz="0" w:space="0" w:color="auto"/>
        <w:left w:val="none" w:sz="0" w:space="0" w:color="auto"/>
        <w:bottom w:val="none" w:sz="0" w:space="0" w:color="auto"/>
        <w:right w:val="none" w:sz="0" w:space="0" w:color="auto"/>
      </w:divBdr>
    </w:div>
    <w:div w:id="1379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Templates\ECBA\ECBA%20Letterhead%20-%20Feb.%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AAD4-69B0-449B-ACA6-6BFD4686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ECBA Letterhead - Feb. 2018.dotx</Template>
  <TotalTime>751</TotalTime>
  <Pages>4</Pages>
  <Words>1470</Words>
  <Characters>7996</Characters>
  <Application>Microsoft Office Word</Application>
  <DocSecurity>0</DocSecurity>
  <PresentationFormat/>
  <Lines>164</Lines>
  <Paragraphs>60</Paragraphs>
  <ScaleCrop>false</ScaleCrop>
  <HeadingPairs>
    <vt:vector size="2" baseType="variant">
      <vt:variant>
        <vt:lpstr>Title</vt:lpstr>
      </vt:variant>
      <vt:variant>
        <vt:i4>1</vt:i4>
      </vt:variant>
    </vt:vector>
  </HeadingPairs>
  <TitlesOfParts>
    <vt:vector size="1" baseType="lpstr">
      <vt:lpstr>Avaaz Objection Letter to Monsanto (00319976-3).DOCX</vt:lpstr>
    </vt:vector>
  </TitlesOfParts>
  <Company>Microsoft</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Avaaz Objection Letter to Monsanto (00319976-3).DOCX</dc:title>
  <dc:creator>Doug Lieb</dc:creator>
  <cp:lastModifiedBy>Doug Lieb</cp:lastModifiedBy>
  <cp:revision>51</cp:revision>
  <cp:lastPrinted>2013-09-10T15:29:00Z</cp:lastPrinted>
  <dcterms:created xsi:type="dcterms:W3CDTF">2018-02-13T16:35:00Z</dcterms:created>
  <dcterms:modified xsi:type="dcterms:W3CDTF">2018-02-16T19:46:00Z</dcterms:modified>
</cp:coreProperties>
</file>